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71" w:rsidRDefault="00BC435B" w:rsidP="002D653B">
      <w:pPr>
        <w:spacing w:line="360" w:lineRule="auto"/>
        <w:jc w:val="both"/>
        <w:rPr>
          <w:rFonts w:ascii="Times New Roman" w:hAnsi="Times New Roman"/>
          <w:b/>
          <w:color w:val="000000"/>
          <w:sz w:val="24"/>
          <w:szCs w:val="24"/>
        </w:rPr>
      </w:pPr>
      <w:r>
        <w:rPr>
          <w:rFonts w:ascii="Times New Roman" w:hAnsi="Times New Roman"/>
          <w:b/>
          <w:color w:val="000000"/>
          <w:sz w:val="24"/>
          <w:szCs w:val="24"/>
        </w:rPr>
        <w:t>Diálogos entre Diseño, Arte, Historia y</w:t>
      </w:r>
      <w:r w:rsidR="001A0471" w:rsidRPr="006C3F32">
        <w:rPr>
          <w:rFonts w:ascii="Times New Roman" w:hAnsi="Times New Roman"/>
          <w:b/>
          <w:color w:val="000000"/>
          <w:sz w:val="24"/>
          <w:szCs w:val="24"/>
        </w:rPr>
        <w:t xml:space="preserve"> Memoria</w:t>
      </w:r>
    </w:p>
    <w:p w:rsidR="001A0471" w:rsidRPr="006C3F32" w:rsidRDefault="001A0471" w:rsidP="002D653B">
      <w:pPr>
        <w:spacing w:line="360" w:lineRule="auto"/>
        <w:jc w:val="both"/>
        <w:rPr>
          <w:rFonts w:ascii="Times New Roman" w:hAnsi="Times New Roman"/>
          <w:b/>
          <w:color w:val="000000"/>
          <w:sz w:val="24"/>
          <w:szCs w:val="24"/>
        </w:rPr>
      </w:pPr>
    </w:p>
    <w:p w:rsidR="001A0471" w:rsidRPr="002D653B" w:rsidRDefault="001A0471" w:rsidP="002D653B">
      <w:pPr>
        <w:spacing w:after="0" w:line="240" w:lineRule="auto"/>
        <w:jc w:val="both"/>
        <w:rPr>
          <w:rFonts w:ascii="Times New Roman" w:hAnsi="Times New Roman"/>
          <w:color w:val="000000"/>
          <w:sz w:val="24"/>
          <w:szCs w:val="24"/>
        </w:rPr>
      </w:pPr>
      <w:r w:rsidRPr="002D653B">
        <w:rPr>
          <w:rFonts w:ascii="Times New Roman" w:hAnsi="Times New Roman"/>
          <w:color w:val="000000"/>
          <w:sz w:val="24"/>
          <w:szCs w:val="24"/>
        </w:rPr>
        <w:t>Aguerre</w:t>
      </w:r>
      <w:r w:rsidR="002D653B" w:rsidRPr="002D653B">
        <w:rPr>
          <w:rFonts w:ascii="Times New Roman" w:hAnsi="Times New Roman"/>
          <w:color w:val="000000"/>
          <w:sz w:val="24"/>
          <w:szCs w:val="24"/>
        </w:rPr>
        <w:t xml:space="preserve">, </w:t>
      </w:r>
      <w:r w:rsidR="002D653B" w:rsidRPr="002D653B">
        <w:rPr>
          <w:rFonts w:ascii="Times New Roman" w:hAnsi="Times New Roman"/>
          <w:color w:val="000000"/>
          <w:sz w:val="24"/>
          <w:szCs w:val="24"/>
        </w:rPr>
        <w:t>Natalia</w:t>
      </w:r>
    </w:p>
    <w:p w:rsidR="001A0471" w:rsidRPr="006C3F32" w:rsidRDefault="001A0471" w:rsidP="006C3F32">
      <w:pPr>
        <w:pStyle w:val="Ttulo1"/>
      </w:pPr>
    </w:p>
    <w:p w:rsidR="001A0471" w:rsidRDefault="001A0471" w:rsidP="006C3F32">
      <w:pPr>
        <w:spacing w:after="0" w:line="240" w:lineRule="auto"/>
        <w:jc w:val="both"/>
        <w:rPr>
          <w:rFonts w:ascii="Times New Roman" w:hAnsi="Times New Roman"/>
          <w:sz w:val="24"/>
          <w:szCs w:val="24"/>
        </w:rPr>
      </w:pPr>
      <w:r w:rsidRPr="006C3F32">
        <w:rPr>
          <w:rFonts w:ascii="Times New Roman" w:hAnsi="Times New Roman"/>
          <w:b/>
          <w:color w:val="000000"/>
          <w:sz w:val="24"/>
          <w:szCs w:val="24"/>
        </w:rPr>
        <w:t>Resumen:</w:t>
      </w:r>
      <w:r w:rsidRPr="006C3F32">
        <w:rPr>
          <w:rFonts w:ascii="Times New Roman" w:hAnsi="Times New Roman"/>
          <w:color w:val="000000"/>
          <w:sz w:val="24"/>
          <w:szCs w:val="24"/>
        </w:rPr>
        <w:t xml:space="preserve"> Durante las décadas del ´70 y ´80, el Arte Correo fue </w:t>
      </w:r>
      <w:r>
        <w:rPr>
          <w:rStyle w:val="notranslate"/>
          <w:rFonts w:ascii="Times New Roman" w:hAnsi="Times New Roman"/>
          <w:color w:val="000000"/>
          <w:sz w:val="24"/>
          <w:szCs w:val="24"/>
          <w:shd w:val="clear" w:color="auto" w:fill="FFFFFF"/>
        </w:rPr>
        <w:t>una</w:t>
      </w:r>
      <w:r w:rsidRPr="006C3F32">
        <w:rPr>
          <w:rStyle w:val="notranslate"/>
          <w:rFonts w:ascii="Times New Roman" w:hAnsi="Times New Roman"/>
          <w:color w:val="000000"/>
          <w:sz w:val="24"/>
          <w:szCs w:val="24"/>
          <w:shd w:val="clear" w:color="auto" w:fill="FFFFFF"/>
        </w:rPr>
        <w:t xml:space="preserve"> práctica de subversión artística</w:t>
      </w:r>
      <w:r>
        <w:rPr>
          <w:rStyle w:val="notranslate"/>
          <w:rFonts w:ascii="Times New Roman" w:hAnsi="Times New Roman"/>
          <w:color w:val="000000"/>
          <w:sz w:val="24"/>
          <w:szCs w:val="24"/>
          <w:shd w:val="clear" w:color="auto" w:fill="FFFFFF"/>
        </w:rPr>
        <w:t xml:space="preserve"> en Latinoamérica donde</w:t>
      </w:r>
      <w:r w:rsidRPr="006C3F32">
        <w:rPr>
          <w:rStyle w:val="notranslate"/>
          <w:rFonts w:ascii="Times New Roman" w:hAnsi="Times New Roman"/>
          <w:color w:val="000000"/>
          <w:sz w:val="24"/>
          <w:szCs w:val="24"/>
          <w:shd w:val="clear" w:color="auto" w:fill="FFFFFF"/>
        </w:rPr>
        <w:t xml:space="preserve"> a través </w:t>
      </w:r>
      <w:r>
        <w:rPr>
          <w:rStyle w:val="notranslate"/>
          <w:rFonts w:ascii="Times New Roman" w:hAnsi="Times New Roman"/>
          <w:color w:val="000000"/>
          <w:sz w:val="24"/>
          <w:szCs w:val="24"/>
          <w:shd w:val="clear" w:color="auto" w:fill="FFFFFF"/>
        </w:rPr>
        <w:t xml:space="preserve">del </w:t>
      </w:r>
      <w:r w:rsidRPr="006C3F32">
        <w:rPr>
          <w:rStyle w:val="notranslate"/>
          <w:rFonts w:ascii="Times New Roman" w:hAnsi="Times New Roman"/>
          <w:color w:val="000000"/>
          <w:sz w:val="24"/>
          <w:szCs w:val="24"/>
          <w:shd w:val="clear" w:color="auto" w:fill="FFFFFF"/>
        </w:rPr>
        <w:t>medio postal</w:t>
      </w:r>
      <w:r>
        <w:rPr>
          <w:rStyle w:val="notranslate"/>
          <w:rFonts w:ascii="Times New Roman" w:hAnsi="Times New Roman"/>
          <w:color w:val="000000"/>
          <w:sz w:val="24"/>
          <w:szCs w:val="24"/>
          <w:shd w:val="clear" w:color="auto" w:fill="FFFFFF"/>
        </w:rPr>
        <w:t xml:space="preserve"> se</w:t>
      </w:r>
      <w:r w:rsidRPr="006C3F32">
        <w:rPr>
          <w:rStyle w:val="notranslate"/>
          <w:rFonts w:ascii="Times New Roman" w:hAnsi="Times New Roman"/>
          <w:color w:val="000000"/>
          <w:sz w:val="24"/>
          <w:szCs w:val="24"/>
          <w:shd w:val="clear" w:color="auto" w:fill="FFFFFF"/>
        </w:rPr>
        <w:t xml:space="preserve"> exhibió </w:t>
      </w:r>
      <w:r w:rsidRPr="006C3F32">
        <w:rPr>
          <w:rFonts w:ascii="Times New Roman" w:hAnsi="Times New Roman"/>
          <w:color w:val="000000"/>
          <w:sz w:val="24"/>
          <w:szCs w:val="24"/>
        </w:rPr>
        <w:t>las condiciones opresivas impuestas por los regíme</w:t>
      </w:r>
      <w:r>
        <w:rPr>
          <w:rFonts w:ascii="Times New Roman" w:hAnsi="Times New Roman"/>
          <w:color w:val="000000"/>
          <w:sz w:val="24"/>
          <w:szCs w:val="24"/>
        </w:rPr>
        <w:t xml:space="preserve">nes totalitarios actuando luego, con la </w:t>
      </w:r>
      <w:r w:rsidRPr="006C3F32">
        <w:rPr>
          <w:rFonts w:ascii="Times New Roman" w:hAnsi="Times New Roman"/>
          <w:color w:val="000000"/>
          <w:sz w:val="24"/>
          <w:szCs w:val="24"/>
        </w:rPr>
        <w:t>restauración de los sistemas demo</w:t>
      </w:r>
      <w:r>
        <w:rPr>
          <w:rFonts w:ascii="Times New Roman" w:hAnsi="Times New Roman"/>
          <w:color w:val="000000"/>
          <w:sz w:val="24"/>
          <w:szCs w:val="24"/>
        </w:rPr>
        <w:t>cráticos, como dispositivo de la memoria colectiva de ese pasado reciente</w:t>
      </w:r>
      <w:r w:rsidRPr="006C3F32">
        <w:rPr>
          <w:rFonts w:ascii="Times New Roman" w:hAnsi="Times New Roman"/>
          <w:color w:val="000000"/>
          <w:sz w:val="24"/>
          <w:szCs w:val="24"/>
        </w:rPr>
        <w:t xml:space="preserve">. Esta experiencia que </w:t>
      </w:r>
      <w:r w:rsidRPr="006C3F32">
        <w:rPr>
          <w:rStyle w:val="notranslate"/>
          <w:rFonts w:ascii="Times New Roman" w:hAnsi="Times New Roman"/>
          <w:color w:val="000000"/>
          <w:sz w:val="24"/>
          <w:szCs w:val="24"/>
          <w:shd w:val="clear" w:color="auto" w:fill="FFFFFF"/>
        </w:rPr>
        <w:t xml:space="preserve">fue marginada por los cánones del arte y la ciencia historiográfica </w:t>
      </w:r>
      <w:r w:rsidRPr="006C3F32">
        <w:rPr>
          <w:rFonts w:ascii="Times New Roman" w:hAnsi="Times New Roman"/>
          <w:color w:val="000000"/>
          <w:sz w:val="24"/>
          <w:szCs w:val="24"/>
        </w:rPr>
        <w:t xml:space="preserve">ha comenzado a visibilizarse por el trabajo de sistematización de los archivos personales de los </w:t>
      </w:r>
      <w:proofErr w:type="spellStart"/>
      <w:r w:rsidRPr="006C3F32">
        <w:rPr>
          <w:rFonts w:ascii="Times New Roman" w:hAnsi="Times New Roman"/>
          <w:color w:val="000000"/>
          <w:sz w:val="24"/>
          <w:szCs w:val="24"/>
        </w:rPr>
        <w:t>artecorreístas</w:t>
      </w:r>
      <w:proofErr w:type="spellEnd"/>
      <w:r>
        <w:rPr>
          <w:rFonts w:ascii="Times New Roman" w:hAnsi="Times New Roman"/>
          <w:color w:val="000000"/>
          <w:sz w:val="24"/>
          <w:szCs w:val="24"/>
        </w:rPr>
        <w:t xml:space="preserve"> involucrados en </w:t>
      </w:r>
      <w:smartTag w:uri="urn:schemas-microsoft-com:office:smarttags" w:element="PersonName">
        <w:smartTagPr>
          <w:attr w:name="ProductID" w:val="la Red"/>
        </w:smartTagPr>
        <w:r>
          <w:rPr>
            <w:rFonts w:ascii="Times New Roman" w:hAnsi="Times New Roman"/>
            <w:color w:val="000000"/>
            <w:sz w:val="24"/>
            <w:szCs w:val="24"/>
          </w:rPr>
          <w:t>la Red</w:t>
        </w:r>
      </w:smartTag>
      <w:r>
        <w:rPr>
          <w:rFonts w:ascii="Times New Roman" w:hAnsi="Times New Roman"/>
          <w:color w:val="000000"/>
          <w:sz w:val="24"/>
          <w:szCs w:val="24"/>
        </w:rPr>
        <w:t xml:space="preserve"> de envíos</w:t>
      </w:r>
      <w:r w:rsidRPr="006C3F32">
        <w:rPr>
          <w:rFonts w:ascii="Times New Roman" w:hAnsi="Times New Roman"/>
          <w:color w:val="000000"/>
          <w:sz w:val="24"/>
          <w:szCs w:val="24"/>
        </w:rPr>
        <w:t xml:space="preserve">. </w:t>
      </w:r>
      <w:r>
        <w:rPr>
          <w:rFonts w:ascii="Times New Roman" w:hAnsi="Times New Roman"/>
          <w:color w:val="000000"/>
          <w:sz w:val="24"/>
          <w:szCs w:val="24"/>
        </w:rPr>
        <w:t>A partir de l</w:t>
      </w:r>
      <w:r w:rsidRPr="006C3F32">
        <w:rPr>
          <w:rFonts w:ascii="Times New Roman" w:hAnsi="Times New Roman"/>
          <w:color w:val="000000"/>
          <w:sz w:val="24"/>
          <w:szCs w:val="24"/>
        </w:rPr>
        <w:t xml:space="preserve">a puesta en disposición pública de este microcosmos específico de objetos estéticos que han vinculado territorios y temporalidades divergentes, a partir de tejidos de discursos -históricos, políticos, tecnológicos-, llevando adelante una operación de creación y transmisión comunicativa, en nuestro presente, </w:t>
      </w:r>
      <w:r>
        <w:rPr>
          <w:rFonts w:ascii="Times New Roman" w:hAnsi="Times New Roman"/>
          <w:color w:val="000000"/>
          <w:sz w:val="24"/>
          <w:szCs w:val="24"/>
        </w:rPr>
        <w:t xml:space="preserve">se </w:t>
      </w:r>
      <w:r w:rsidRPr="006C3F32">
        <w:rPr>
          <w:rFonts w:ascii="Times New Roman" w:hAnsi="Times New Roman"/>
          <w:color w:val="000000"/>
          <w:sz w:val="24"/>
          <w:szCs w:val="24"/>
        </w:rPr>
        <w:t xml:space="preserve">abre el debate sobre el vínculo </w:t>
      </w:r>
      <w:r w:rsidRPr="006C3F32">
        <w:rPr>
          <w:rStyle w:val="notranslate"/>
          <w:rFonts w:ascii="Times New Roman" w:hAnsi="Times New Roman"/>
          <w:color w:val="000000"/>
          <w:sz w:val="24"/>
          <w:szCs w:val="24"/>
          <w:shd w:val="clear" w:color="auto" w:fill="FFFFFF"/>
        </w:rPr>
        <w:t>con lo</w:t>
      </w:r>
      <w:r w:rsidRPr="006C3F32">
        <w:rPr>
          <w:rFonts w:ascii="Times New Roman" w:hAnsi="Times New Roman"/>
          <w:sz w:val="24"/>
          <w:szCs w:val="24"/>
        </w:rPr>
        <w:t xml:space="preserve"> que es legítimo a ser estudiado bajo ciertas normas, y con </w:t>
      </w:r>
      <w:r w:rsidRPr="006C3F32">
        <w:rPr>
          <w:rStyle w:val="notranslate"/>
          <w:rFonts w:ascii="Times New Roman" w:hAnsi="Times New Roman"/>
          <w:color w:val="000000"/>
          <w:sz w:val="24"/>
          <w:szCs w:val="24"/>
          <w:shd w:val="clear" w:color="auto" w:fill="FFFFFF"/>
        </w:rPr>
        <w:t xml:space="preserve">los </w:t>
      </w:r>
      <w:r w:rsidRPr="006C3F32">
        <w:rPr>
          <w:rFonts w:ascii="Times New Roman" w:hAnsi="Times New Roman"/>
          <w:color w:val="000000"/>
          <w:sz w:val="24"/>
          <w:szCs w:val="24"/>
        </w:rPr>
        <w:t xml:space="preserve">modos de </w:t>
      </w:r>
      <w:r w:rsidRPr="006C3F32">
        <w:rPr>
          <w:rFonts w:ascii="Times New Roman" w:hAnsi="Times New Roman"/>
          <w:sz w:val="24"/>
          <w:szCs w:val="24"/>
        </w:rPr>
        <w:t xml:space="preserve">conjugar, recuperar y reconstruir con lenguajes diversos y materialidades del quehacer cotidiano una memoria colectiva de los pueblos. Este artículo pretende desanudar los entrecruzamientos de </w:t>
      </w:r>
      <w:smartTag w:uri="urn:schemas-microsoft-com:office:smarttags" w:element="PersonName">
        <w:smartTagPr>
          <w:attr w:name="ProductID" w:val="la Historia"/>
        </w:smartTagPr>
        <w:r w:rsidRPr="006C3F32">
          <w:rPr>
            <w:rFonts w:ascii="Times New Roman" w:hAnsi="Times New Roman"/>
            <w:sz w:val="24"/>
            <w:szCs w:val="24"/>
          </w:rPr>
          <w:t>la Historia</w:t>
        </w:r>
      </w:smartTag>
      <w:r w:rsidRPr="006C3F32">
        <w:rPr>
          <w:rFonts w:ascii="Times New Roman" w:hAnsi="Times New Roman"/>
          <w:sz w:val="24"/>
          <w:szCs w:val="24"/>
        </w:rPr>
        <w:t xml:space="preserve"> y </w:t>
      </w:r>
      <w:smartTag w:uri="urn:schemas-microsoft-com:office:smarttags" w:element="PersonName">
        <w:smartTagPr>
          <w:attr w:name="ProductID" w:val="la Memoria"/>
        </w:smartTagPr>
        <w:r w:rsidRPr="006C3F32">
          <w:rPr>
            <w:rFonts w:ascii="Times New Roman" w:hAnsi="Times New Roman"/>
            <w:sz w:val="24"/>
            <w:szCs w:val="24"/>
          </w:rPr>
          <w:t>la Memoria</w:t>
        </w:r>
      </w:smartTag>
      <w:r w:rsidRPr="006C3F32">
        <w:rPr>
          <w:rFonts w:ascii="Times New Roman" w:hAnsi="Times New Roman"/>
          <w:sz w:val="24"/>
          <w:szCs w:val="24"/>
        </w:rPr>
        <w:t xml:space="preserve"> para refle</w:t>
      </w:r>
      <w:r>
        <w:rPr>
          <w:rFonts w:ascii="Times New Roman" w:hAnsi="Times New Roman"/>
          <w:sz w:val="24"/>
          <w:szCs w:val="24"/>
        </w:rPr>
        <w:t>xionar sobre las formas que el A</w:t>
      </w:r>
      <w:r w:rsidRPr="006C3F32">
        <w:rPr>
          <w:rFonts w:ascii="Times New Roman" w:hAnsi="Times New Roman"/>
          <w:sz w:val="24"/>
          <w:szCs w:val="24"/>
        </w:rPr>
        <w:t>rte tiene de narrar y transformar el mapa de lo perceptible y de lo pensable.</w:t>
      </w:r>
    </w:p>
    <w:p w:rsidR="002D653B" w:rsidRPr="006C3F32" w:rsidRDefault="002D653B" w:rsidP="006C3F32">
      <w:pPr>
        <w:spacing w:after="0" w:line="240" w:lineRule="auto"/>
        <w:jc w:val="both"/>
        <w:rPr>
          <w:rFonts w:ascii="Times New Roman" w:hAnsi="Times New Roman"/>
          <w:color w:val="000000"/>
          <w:sz w:val="24"/>
          <w:szCs w:val="24"/>
        </w:rPr>
      </w:pPr>
    </w:p>
    <w:p w:rsidR="001A0471" w:rsidRPr="006C3F32" w:rsidRDefault="001A0471" w:rsidP="006C3F32">
      <w:pPr>
        <w:spacing w:line="360" w:lineRule="auto"/>
        <w:jc w:val="both"/>
        <w:rPr>
          <w:rFonts w:ascii="Times New Roman" w:hAnsi="Times New Roman"/>
          <w:sz w:val="24"/>
          <w:szCs w:val="24"/>
        </w:rPr>
      </w:pPr>
      <w:r w:rsidRPr="006C3F32">
        <w:rPr>
          <w:rFonts w:ascii="Times New Roman" w:hAnsi="Times New Roman"/>
          <w:b/>
          <w:sz w:val="24"/>
          <w:szCs w:val="24"/>
        </w:rPr>
        <w:t>Palabras clave:</w:t>
      </w:r>
      <w:r w:rsidRPr="006C3F32">
        <w:rPr>
          <w:rFonts w:ascii="Times New Roman" w:hAnsi="Times New Roman"/>
          <w:sz w:val="24"/>
          <w:szCs w:val="24"/>
        </w:rPr>
        <w:t xml:space="preserve"> Arte Correo – Memoria – Historia.</w:t>
      </w:r>
    </w:p>
    <w:p w:rsidR="001A0471" w:rsidRPr="006C3F32" w:rsidRDefault="001A0471" w:rsidP="006C3F32">
      <w:pPr>
        <w:spacing w:line="360" w:lineRule="auto"/>
        <w:jc w:val="both"/>
        <w:rPr>
          <w:rFonts w:ascii="Times New Roman" w:hAnsi="Times New Roman"/>
          <w:sz w:val="24"/>
          <w:szCs w:val="24"/>
        </w:rPr>
      </w:pPr>
    </w:p>
    <w:p w:rsidR="001A0471" w:rsidRPr="00ED05CB" w:rsidRDefault="001A0471" w:rsidP="006C3F32">
      <w:pPr>
        <w:pStyle w:val="NormalWeb"/>
        <w:spacing w:before="0" w:beforeAutospacing="0" w:after="0" w:afterAutospacing="0" w:line="360" w:lineRule="auto"/>
        <w:jc w:val="both"/>
        <w:rPr>
          <w:b/>
          <w:color w:val="000000"/>
        </w:rPr>
      </w:pPr>
      <w:r>
        <w:rPr>
          <w:b/>
          <w:color w:val="000000"/>
        </w:rPr>
        <w:t xml:space="preserve">A modo de inicio: Disputas entre Historia y </w:t>
      </w:r>
      <w:smartTag w:uri="urn:schemas-microsoft-com:office:smarttags" w:element="PersonName">
        <w:smartTagPr>
          <w:attr w:name="ProductID" w:val="la Memoria"/>
        </w:smartTagPr>
        <w:r>
          <w:rPr>
            <w:b/>
            <w:color w:val="000000"/>
          </w:rPr>
          <w:t>la Memoria</w:t>
        </w:r>
      </w:smartTag>
    </w:p>
    <w:p w:rsidR="001A0471" w:rsidRPr="006C3F32" w:rsidRDefault="002D653B" w:rsidP="00AF4A1D">
      <w:pPr>
        <w:spacing w:line="360" w:lineRule="auto"/>
        <w:jc w:val="both"/>
        <w:rPr>
          <w:rFonts w:ascii="Times New Roman" w:hAnsi="Times New Roman"/>
          <w:sz w:val="24"/>
          <w:szCs w:val="24"/>
        </w:rPr>
      </w:pPr>
      <w:r>
        <w:rPr>
          <w:rFonts w:ascii="Times New Roman" w:hAnsi="Times New Roman"/>
          <w:color w:val="000000"/>
          <w:sz w:val="24"/>
          <w:szCs w:val="24"/>
          <w:lang w:val="es-ES" w:eastAsia="es-ES"/>
        </w:rPr>
        <w:t>Sostenemos</w:t>
      </w:r>
      <w:r w:rsidR="001A0471">
        <w:rPr>
          <w:rFonts w:ascii="Times New Roman" w:hAnsi="Times New Roman"/>
          <w:sz w:val="24"/>
          <w:szCs w:val="24"/>
        </w:rPr>
        <w:t xml:space="preserve"> que el a</w:t>
      </w:r>
      <w:r w:rsidR="001A0471" w:rsidRPr="006C3F32">
        <w:rPr>
          <w:rFonts w:ascii="Times New Roman" w:hAnsi="Times New Roman"/>
          <w:sz w:val="24"/>
          <w:szCs w:val="24"/>
        </w:rPr>
        <w:t>r</w:t>
      </w:r>
      <w:r w:rsidR="001A0471">
        <w:rPr>
          <w:rFonts w:ascii="Times New Roman" w:hAnsi="Times New Roman"/>
          <w:sz w:val="24"/>
          <w:szCs w:val="24"/>
        </w:rPr>
        <w:t>te comparte con el campo de la H</w:t>
      </w:r>
      <w:r w:rsidR="001A0471" w:rsidRPr="006C3F32">
        <w:rPr>
          <w:rFonts w:ascii="Times New Roman" w:hAnsi="Times New Roman"/>
          <w:sz w:val="24"/>
          <w:szCs w:val="24"/>
        </w:rPr>
        <w:t>istoria</w:t>
      </w:r>
      <w:r w:rsidR="001A0471">
        <w:rPr>
          <w:rFonts w:ascii="Times New Roman" w:hAnsi="Times New Roman"/>
          <w:sz w:val="24"/>
          <w:szCs w:val="24"/>
        </w:rPr>
        <w:t xml:space="preserve"> y la M</w:t>
      </w:r>
      <w:r w:rsidR="001A0471" w:rsidRPr="006C3F32">
        <w:rPr>
          <w:rFonts w:ascii="Times New Roman" w:hAnsi="Times New Roman"/>
          <w:sz w:val="24"/>
          <w:szCs w:val="24"/>
        </w:rPr>
        <w:t>emoria el sentido de hacer presente la heterogeneidad del tiempo abarcando e incidiendo sobre las distintas esferas de la vida individual o colectiva. Según Bourdieu (2010) estas prácticas de representación son el producto de formas de socialización que responden a lógicas disímiles presentando distinciones que se corresponden con el segmento social que las compuso conforme una representación ideo-lógica del sí preponde</w:t>
      </w:r>
      <w:r w:rsidR="001A0471">
        <w:rPr>
          <w:rFonts w:ascii="Times New Roman" w:hAnsi="Times New Roman"/>
          <w:sz w:val="24"/>
          <w:szCs w:val="24"/>
        </w:rPr>
        <w:t>rante. Pero si asumimos que el A</w:t>
      </w:r>
      <w:r w:rsidR="001A0471" w:rsidRPr="006C3F32">
        <w:rPr>
          <w:rFonts w:ascii="Times New Roman" w:hAnsi="Times New Roman"/>
          <w:sz w:val="24"/>
          <w:szCs w:val="24"/>
        </w:rPr>
        <w:t>rte es una fuente de comunicabilidades que viabiliza la expresión de aquello que la memoria dicta y la historia escribe, se conseguiría ligar estas diferencias mediante la tarea de desandar sus nudos de sentidos que cada saber conlleva para ponerlos en dialogo</w:t>
      </w:r>
      <w:r w:rsidR="001A0471">
        <w:rPr>
          <w:rFonts w:ascii="Times New Roman" w:hAnsi="Times New Roman"/>
          <w:sz w:val="24"/>
          <w:szCs w:val="24"/>
        </w:rPr>
        <w:t>,</w:t>
      </w:r>
      <w:r w:rsidR="001A0471" w:rsidRPr="006C3F32">
        <w:rPr>
          <w:rFonts w:ascii="Times New Roman" w:hAnsi="Times New Roman"/>
          <w:sz w:val="24"/>
          <w:szCs w:val="24"/>
        </w:rPr>
        <w:t xml:space="preserve"> con el fin de evidenciar que los lenguajes estéticos son medios que ensamblan elementos memorísticos e históricos para hacer “presente un ad-venir en el proceso del haber sido” (</w:t>
      </w:r>
      <w:proofErr w:type="spellStart"/>
      <w:r w:rsidR="001A0471" w:rsidRPr="006C3F32">
        <w:rPr>
          <w:rFonts w:ascii="Times New Roman" w:hAnsi="Times New Roman"/>
          <w:sz w:val="24"/>
          <w:szCs w:val="24"/>
        </w:rPr>
        <w:t>Ricoeur</w:t>
      </w:r>
      <w:proofErr w:type="spellEnd"/>
      <w:r w:rsidR="001A0471" w:rsidRPr="006C3F32">
        <w:rPr>
          <w:rFonts w:ascii="Times New Roman" w:hAnsi="Times New Roman"/>
          <w:sz w:val="24"/>
          <w:szCs w:val="24"/>
        </w:rPr>
        <w:t xml:space="preserve">, 2009, p. 733). </w:t>
      </w:r>
    </w:p>
    <w:p w:rsidR="001A0471" w:rsidRPr="006C3F32" w:rsidRDefault="001A0471" w:rsidP="00AF4A1D">
      <w:pPr>
        <w:spacing w:line="360" w:lineRule="auto"/>
        <w:jc w:val="both"/>
        <w:rPr>
          <w:rFonts w:ascii="Times New Roman" w:hAnsi="Times New Roman"/>
          <w:sz w:val="24"/>
          <w:szCs w:val="24"/>
        </w:rPr>
      </w:pPr>
      <w:r w:rsidRPr="006C3F32">
        <w:rPr>
          <w:rFonts w:ascii="Times New Roman" w:hAnsi="Times New Roman"/>
          <w:sz w:val="24"/>
          <w:szCs w:val="24"/>
        </w:rPr>
        <w:lastRenderedPageBreak/>
        <w:t xml:space="preserve">Tal es así que desde las pinturas rupestres presentes en Altamira, </w:t>
      </w:r>
      <w:proofErr w:type="spellStart"/>
      <w:r w:rsidRPr="006C3F32">
        <w:rPr>
          <w:rFonts w:ascii="Times New Roman" w:hAnsi="Times New Roman"/>
          <w:sz w:val="24"/>
          <w:szCs w:val="24"/>
        </w:rPr>
        <w:t>Lascaux</w:t>
      </w:r>
      <w:proofErr w:type="spellEnd"/>
      <w:r w:rsidRPr="006C3F32">
        <w:rPr>
          <w:rFonts w:ascii="Times New Roman" w:hAnsi="Times New Roman"/>
          <w:sz w:val="24"/>
          <w:szCs w:val="24"/>
        </w:rPr>
        <w:t xml:space="preserve"> o </w:t>
      </w:r>
      <w:proofErr w:type="spellStart"/>
      <w:r w:rsidRPr="006C3F32">
        <w:rPr>
          <w:rFonts w:ascii="Times New Roman" w:hAnsi="Times New Roman"/>
          <w:sz w:val="24"/>
          <w:szCs w:val="24"/>
        </w:rPr>
        <w:t>Chauvet</w:t>
      </w:r>
      <w:proofErr w:type="spellEnd"/>
      <w:r w:rsidRPr="006C3F32">
        <w:rPr>
          <w:rFonts w:ascii="Times New Roman" w:hAnsi="Times New Roman"/>
          <w:sz w:val="24"/>
          <w:szCs w:val="24"/>
        </w:rPr>
        <w:t xml:space="preserve">, el hombre ha demostrado la necesidad de inscribir y dejar huella de su existencia mediante la representación de una memoria explícita con objetos y animales y de una memoria con mayor concentración semántica, a partir de formas simbólicas. En </w:t>
      </w:r>
      <w:smartTag w:uri="urn:schemas-microsoft-com:office:smarttags" w:element="PersonName">
        <w:smartTagPr>
          <w:attr w:name="ProductID" w:val="la Comunicación"/>
        </w:smartTagPr>
        <w:r w:rsidRPr="006C3F32">
          <w:rPr>
            <w:rFonts w:ascii="Times New Roman" w:hAnsi="Times New Roman"/>
            <w:sz w:val="24"/>
            <w:szCs w:val="24"/>
          </w:rPr>
          <w:t>la Antigüedad</w:t>
        </w:r>
      </w:smartTag>
      <w:r w:rsidRPr="006C3F32">
        <w:rPr>
          <w:rFonts w:ascii="Times New Roman" w:hAnsi="Times New Roman"/>
          <w:sz w:val="24"/>
          <w:szCs w:val="24"/>
        </w:rPr>
        <w:t xml:space="preserve">, los griegos entendían que la memoria era un arte que le otorgaba al hombre el acceso al </w:t>
      </w:r>
      <w:r w:rsidRPr="006C3F32">
        <w:rPr>
          <w:rFonts w:ascii="Times New Roman" w:hAnsi="Times New Roman"/>
          <w:i/>
          <w:sz w:val="24"/>
          <w:szCs w:val="24"/>
        </w:rPr>
        <w:t xml:space="preserve">tiempo original </w:t>
      </w:r>
      <w:r w:rsidRPr="006C3F32">
        <w:rPr>
          <w:rFonts w:ascii="Times New Roman" w:hAnsi="Times New Roman"/>
          <w:sz w:val="24"/>
          <w:szCs w:val="24"/>
        </w:rPr>
        <w:t xml:space="preserve">para recordar un conocimiento que se encontraba en el alma  o como una técnica aplicada en el ámbito de la retórica. Las reglas de este arte fueron privilegiadas y  estudiadas por Cicerón y Santo Tomás de Aquino como también por el jesuita José de Acosta, el cual señalaba que “la memoria de los hechos históricos podían expresarse por medio de la escritura -como lo usan los latinos, los griegos y los judíos y muchas otras naciones-, o a través de pinturas como en casi todo el mundo se usa” (De Acosta </w:t>
      </w:r>
      <w:proofErr w:type="spellStart"/>
      <w:r w:rsidRPr="006C3F32">
        <w:rPr>
          <w:rFonts w:ascii="Times New Roman" w:hAnsi="Times New Roman"/>
          <w:sz w:val="24"/>
          <w:szCs w:val="24"/>
        </w:rPr>
        <w:t>s.j.</w:t>
      </w:r>
      <w:proofErr w:type="spellEnd"/>
      <w:r w:rsidRPr="006C3F32">
        <w:rPr>
          <w:rFonts w:ascii="Times New Roman" w:hAnsi="Times New Roman"/>
          <w:sz w:val="24"/>
          <w:szCs w:val="24"/>
        </w:rPr>
        <w:t>, 1596, en, Valcárcel Martínez, 1989, p. 17).</w:t>
      </w:r>
    </w:p>
    <w:p w:rsidR="001A0471" w:rsidRPr="006C3F32" w:rsidRDefault="001A0471" w:rsidP="00AF4A1D">
      <w:pPr>
        <w:spacing w:line="360" w:lineRule="auto"/>
        <w:jc w:val="both"/>
        <w:rPr>
          <w:rFonts w:ascii="Times New Roman" w:hAnsi="Times New Roman"/>
          <w:sz w:val="24"/>
          <w:szCs w:val="24"/>
        </w:rPr>
      </w:pPr>
      <w:r w:rsidRPr="006C3F32">
        <w:rPr>
          <w:rFonts w:ascii="Times New Roman" w:hAnsi="Times New Roman"/>
          <w:sz w:val="24"/>
          <w:szCs w:val="24"/>
        </w:rPr>
        <w:t xml:space="preserve">Pero el predominio de las ciencias sociales sobre los métodos de estudio de los aconteceres del hombre ha producido una segmentación de la complejidad cultural donde la disciplina histórica ha tratado “de unificar el pasado volviéndolo uniforme desde posiciones que contribuyen a consolidar las naciones, desconociendo las particularidades de los diversos grupos sociales que las componen” </w:t>
      </w:r>
      <w:r w:rsidRPr="00BC435B">
        <w:rPr>
          <w:rFonts w:ascii="Times New Roman" w:hAnsi="Times New Roman"/>
          <w:sz w:val="24"/>
          <w:szCs w:val="24"/>
        </w:rPr>
        <w:t>(Becerra Mora, 2015, p.67).</w:t>
      </w:r>
      <w:r w:rsidRPr="006C3F32">
        <w:rPr>
          <w:rFonts w:ascii="Times New Roman" w:hAnsi="Times New Roman"/>
          <w:sz w:val="24"/>
          <w:szCs w:val="24"/>
        </w:rPr>
        <w:t xml:space="preserve"> Bajo esta premisa, podemos decir que estos discursos establecieron los lineamientos temporales de la existencia de los sujetos cargados de contradicciones, tensiones, silencios, conflictos y disyunciones. </w:t>
      </w:r>
    </w:p>
    <w:p w:rsidR="001A0471" w:rsidRPr="006C3F32" w:rsidRDefault="001A0471" w:rsidP="00AF4A1D">
      <w:pPr>
        <w:spacing w:line="360" w:lineRule="auto"/>
        <w:jc w:val="both"/>
        <w:rPr>
          <w:rFonts w:ascii="Times New Roman" w:hAnsi="Times New Roman"/>
          <w:sz w:val="24"/>
          <w:szCs w:val="24"/>
        </w:rPr>
      </w:pPr>
      <w:r w:rsidRPr="006C3F32">
        <w:rPr>
          <w:rFonts w:ascii="Times New Roman" w:hAnsi="Times New Roman"/>
          <w:sz w:val="24"/>
          <w:szCs w:val="24"/>
        </w:rPr>
        <w:t xml:space="preserve">Hacia fines de la década del ´60 comenzaron a visibilizarse en los medios europeos y norteamericanos relatos de las experiencias vividas en los procesos de </w:t>
      </w:r>
      <w:proofErr w:type="spellStart"/>
      <w:r w:rsidRPr="006C3F32">
        <w:rPr>
          <w:rFonts w:ascii="Times New Roman" w:hAnsi="Times New Roman"/>
          <w:sz w:val="24"/>
          <w:szCs w:val="24"/>
        </w:rPr>
        <w:t>desconolonización</w:t>
      </w:r>
      <w:proofErr w:type="spellEnd"/>
      <w:r w:rsidRPr="006C3F32">
        <w:rPr>
          <w:rFonts w:ascii="Times New Roman" w:hAnsi="Times New Roman"/>
          <w:sz w:val="24"/>
          <w:szCs w:val="24"/>
        </w:rPr>
        <w:t xml:space="preserve">, los cuales fueron utilizados por determinados movimientos sociales que buscaban historiografías alternativas y revisionistas. Pero fue a partir de los años ´80 que estas narrativas construidas desde la sensibilidad de los recuerdos empezaron a formar parte de la agenda pública como consecuencia de los debates en torno al Holocausto y una década después ampliarse por las políticas genocidas en Ruanda, Bosnia y Kosovo; por el pos-apartheid en Sudáfrica, por el revisionismo histórico entre Japón, China y Corea, y por los desaparecidos y la apropiación de sus hijos en las sociedades pos-dictatoriales de América Latina. Es así que surgen los discursos por la memoria denominada por </w:t>
      </w:r>
      <w:proofErr w:type="spellStart"/>
      <w:r w:rsidRPr="006C3F32">
        <w:rPr>
          <w:rFonts w:ascii="Times New Roman" w:hAnsi="Times New Roman"/>
          <w:sz w:val="24"/>
          <w:szCs w:val="24"/>
        </w:rPr>
        <w:t>Jelin</w:t>
      </w:r>
      <w:proofErr w:type="spellEnd"/>
      <w:r w:rsidRPr="006C3F32">
        <w:rPr>
          <w:rFonts w:ascii="Times New Roman" w:hAnsi="Times New Roman"/>
          <w:sz w:val="24"/>
          <w:szCs w:val="24"/>
        </w:rPr>
        <w:t xml:space="preserve"> (2002) como una construcción cultural compleja donde la experiencia es vivida subjetivamente y culturalmente compartida y compartible.</w:t>
      </w:r>
    </w:p>
    <w:p w:rsidR="001A0471" w:rsidRDefault="001A0471" w:rsidP="006C3F32">
      <w:pPr>
        <w:pStyle w:val="NormalWeb"/>
        <w:spacing w:before="0" w:beforeAutospacing="0" w:after="0" w:afterAutospacing="0" w:line="360" w:lineRule="auto"/>
        <w:jc w:val="both"/>
      </w:pPr>
      <w:r w:rsidRPr="006C3F32">
        <w:lastRenderedPageBreak/>
        <w:t xml:space="preserve">Aunque estas narrativas -en cierto registro- parecen ser globales en función de poner en el tapete cuestiones fundamentales vinculadas con las violaciones a los derechos humanos, la justicia y la responsabilidad colectiva; resulta importante reconocer que las mismas están ligadas a las historias de las naciones y estados específicos porque es en el ámbito político/cultural donde se recobran los sentidos del pasado. La memoria, entonces, se produce en tanto hay sujetos que comparten una cultura, en tanto hay agentes sociales que intentan “materializar” esos sentidos del pasado o de hechos recientes en diversos productos culturales que son concebidos como, o que se convierten en, vehículos de la memoria Y es por ello que el arte es un medio para la construcción de la memoria que en nuestro presente da cuenta de la necesidad de un anclaje espacio/temporal en un mundo caracterizado por los flujos de información cada vez más caudalosos, en redes cada vez más densas de tiempo y espacio comprimido. De manera similar a la historiografía clásica que dejó de lado los relatos teleológicos y se volvió </w:t>
      </w:r>
      <w:r w:rsidR="002D653B" w:rsidRPr="006C3F32">
        <w:t>más</w:t>
      </w:r>
      <w:r w:rsidRPr="006C3F32">
        <w:t xml:space="preserve"> escéptica, la memoria con su énfasis en los derechos humanos, en las temáticas por las minorías y del género y en la revisión de los diversos pasados nacionales e internacionales </w:t>
      </w:r>
      <w:r w:rsidR="002D653B" w:rsidRPr="006C3F32">
        <w:t>est</w:t>
      </w:r>
      <w:r w:rsidR="002D653B">
        <w:t>á</w:t>
      </w:r>
      <w:r>
        <w:t xml:space="preserve"> abriendo un sendero donde el a</w:t>
      </w:r>
      <w:r w:rsidRPr="006C3F32">
        <w:t xml:space="preserve">rte es uno de sus vehículos que exhiben el </w:t>
      </w:r>
      <w:proofErr w:type="spellStart"/>
      <w:r w:rsidRPr="006C3F32">
        <w:t>desaceleramiento</w:t>
      </w:r>
      <w:proofErr w:type="spellEnd"/>
      <w:r w:rsidRPr="006C3F32">
        <w:t xml:space="preserve"> del tiempo, la naturaleza del debate público, donde se nutre y expande el espacio habitable en lugar de destruirlo. </w:t>
      </w:r>
    </w:p>
    <w:p w:rsidR="001A0471" w:rsidRDefault="001A0471" w:rsidP="006C3F32">
      <w:pPr>
        <w:pStyle w:val="NormalWeb"/>
        <w:spacing w:before="0" w:beforeAutospacing="0" w:after="0" w:afterAutospacing="0" w:line="360" w:lineRule="auto"/>
        <w:jc w:val="both"/>
      </w:pPr>
    </w:p>
    <w:p w:rsidR="001A0471" w:rsidRDefault="001A0471" w:rsidP="006C3F32">
      <w:pPr>
        <w:pStyle w:val="NormalWeb"/>
        <w:spacing w:before="0" w:beforeAutospacing="0" w:after="0" w:afterAutospacing="0" w:line="360" w:lineRule="auto"/>
        <w:jc w:val="both"/>
        <w:rPr>
          <w:b/>
        </w:rPr>
      </w:pPr>
      <w:r>
        <w:rPr>
          <w:b/>
        </w:rPr>
        <w:t>Sobre e</w:t>
      </w:r>
      <w:r w:rsidRPr="00AF4A1D">
        <w:rPr>
          <w:b/>
        </w:rPr>
        <w:t>l Arte Correo</w:t>
      </w:r>
    </w:p>
    <w:p w:rsidR="001A0471" w:rsidRPr="00AF4A1D" w:rsidRDefault="001A0471" w:rsidP="006C3F32">
      <w:pPr>
        <w:pStyle w:val="NormalWeb"/>
        <w:spacing w:before="0" w:beforeAutospacing="0" w:after="0" w:afterAutospacing="0" w:line="360" w:lineRule="auto"/>
        <w:jc w:val="both"/>
        <w:rPr>
          <w:b/>
          <w:color w:val="000000"/>
        </w:rPr>
      </w:pPr>
    </w:p>
    <w:p w:rsidR="001A0471" w:rsidRPr="006C3F32" w:rsidRDefault="001A0471" w:rsidP="006C3F32">
      <w:pPr>
        <w:pStyle w:val="NormalWeb"/>
        <w:spacing w:before="0" w:beforeAutospacing="0" w:after="0" w:afterAutospacing="0" w:line="360" w:lineRule="auto"/>
        <w:jc w:val="both"/>
        <w:rPr>
          <w:color w:val="000000"/>
        </w:rPr>
      </w:pPr>
      <w:r>
        <w:rPr>
          <w:color w:val="000000"/>
        </w:rPr>
        <w:t>Surgido</w:t>
      </w:r>
      <w:r w:rsidRPr="006C3F32">
        <w:rPr>
          <w:color w:val="000000"/>
        </w:rPr>
        <w:t xml:space="preserve"> </w:t>
      </w:r>
      <w:r>
        <w:rPr>
          <w:color w:val="000000"/>
        </w:rPr>
        <w:t xml:space="preserve"> hacia fines de los años ´</w:t>
      </w:r>
      <w:r w:rsidRPr="006C3F32">
        <w:rPr>
          <w:color w:val="000000"/>
        </w:rPr>
        <w:t>50, en pleno auge de la cultura de masas, el Arte Correo</w:t>
      </w:r>
      <w:r>
        <w:rPr>
          <w:color w:val="000000"/>
        </w:rPr>
        <w:t xml:space="preserve"> fue una práctica </w:t>
      </w:r>
      <w:r w:rsidRPr="006C3F32">
        <w:rPr>
          <w:color w:val="000000"/>
        </w:rPr>
        <w:t xml:space="preserve"> </w:t>
      </w:r>
      <w:r>
        <w:rPr>
          <w:color w:val="000000"/>
        </w:rPr>
        <w:t xml:space="preserve">que </w:t>
      </w:r>
      <w:r w:rsidRPr="006C3F32">
        <w:rPr>
          <w:color w:val="000000"/>
        </w:rPr>
        <w:t xml:space="preserve">manifestó una forma alternativa de comunicación a través del uso del correo postal, proporcionando una circulación de materialidades de manera interpersonal, </w:t>
      </w:r>
      <w:proofErr w:type="spellStart"/>
      <w:r w:rsidRPr="006C3F32">
        <w:rPr>
          <w:color w:val="000000"/>
        </w:rPr>
        <w:t>anticomercial</w:t>
      </w:r>
      <w:proofErr w:type="spellEnd"/>
      <w:r w:rsidRPr="006C3F32">
        <w:rPr>
          <w:color w:val="000000"/>
        </w:rPr>
        <w:t xml:space="preserve"> y crítica frente a las instituciones artísticas y a los medios de masivos, en tanto relación significante y necesaria de las prácticas estéticas.</w:t>
      </w:r>
      <w:r>
        <w:rPr>
          <w:color w:val="000000"/>
        </w:rPr>
        <w:t xml:space="preserve"> </w:t>
      </w:r>
      <w:r w:rsidR="002D653B">
        <w:rPr>
          <w:color w:val="000000"/>
        </w:rPr>
        <w:t>Ésta</w:t>
      </w:r>
      <w:r>
        <w:rPr>
          <w:color w:val="000000"/>
        </w:rPr>
        <w:t xml:space="preserve"> </w:t>
      </w:r>
      <w:r w:rsidRPr="006C3F32">
        <w:rPr>
          <w:color w:val="000000"/>
        </w:rPr>
        <w:t xml:space="preserve">adquirió una escala global que borró los límites entre lo internacional y lo local privilegiando la interactividad y la participación comunitaria como acciones sociales fundamentales en la producción, circulación y negociación de representaciones sociales. En palabras de </w:t>
      </w:r>
      <w:proofErr w:type="spellStart"/>
      <w:r w:rsidRPr="00B75C2F">
        <w:rPr>
          <w:color w:val="000000"/>
        </w:rPr>
        <w:t>De</w:t>
      </w:r>
      <w:proofErr w:type="spellEnd"/>
      <w:r w:rsidRPr="00B75C2F">
        <w:rPr>
          <w:color w:val="000000"/>
        </w:rPr>
        <w:t xml:space="preserve"> Rueda (2014),</w:t>
      </w:r>
      <w:r w:rsidRPr="006C3F32">
        <w:rPr>
          <w:color w:val="000000"/>
        </w:rPr>
        <w:t xml:space="preserve"> esta práctica marcó un proceso que involucró “productores y receptores de manera dinámica, participativa y determinante en la construcción de una obra, multidireccional en flujo y cambio permanente” (s/p). Los </w:t>
      </w:r>
      <w:proofErr w:type="spellStart"/>
      <w:r w:rsidRPr="006C3F32">
        <w:rPr>
          <w:color w:val="000000"/>
        </w:rPr>
        <w:t>artecorreístas</w:t>
      </w:r>
      <w:proofErr w:type="spellEnd"/>
      <w:r w:rsidRPr="006C3F32">
        <w:rPr>
          <w:color w:val="000000"/>
        </w:rPr>
        <w:t xml:space="preserve"> quebraron la perspectiva comunicacional dominante de emisor-receptor unidireccional establecida por los medios masivos pero también, en virtud de las </w:t>
      </w:r>
      <w:r w:rsidRPr="006C3F32">
        <w:rPr>
          <w:color w:val="000000"/>
        </w:rPr>
        <w:lastRenderedPageBreak/>
        <w:t xml:space="preserve">relaciones verticalistas entre el artista y el público determinada por los museos o galerías durante las experiencias artísticas. En este sentido y como sostiene </w:t>
      </w:r>
      <w:r w:rsidRPr="00B75C2F">
        <w:rPr>
          <w:color w:val="000000"/>
        </w:rPr>
        <w:t>María Cristina Mata (1999</w:t>
      </w:r>
      <w:r w:rsidRPr="006C3F32">
        <w:rPr>
          <w:color w:val="000000"/>
        </w:rPr>
        <w:t>), el Arte Correo se constituyó como una instancia superadora de la cultura de masas, ya que expresó “valores, modos de vincularse entre los individuos, divisiones del tiempo, organización del espacio público y el privado, modos de legitimación, etc.” (Mata, 1999, p. 81). </w:t>
      </w:r>
    </w:p>
    <w:p w:rsidR="001A0471" w:rsidRPr="006C3F32" w:rsidRDefault="001A0471" w:rsidP="006C3F32">
      <w:pPr>
        <w:pStyle w:val="NormalWeb"/>
        <w:spacing w:before="0" w:beforeAutospacing="0" w:after="0" w:afterAutospacing="0" w:line="360" w:lineRule="auto"/>
        <w:jc w:val="both"/>
        <w:rPr>
          <w:color w:val="000000"/>
        </w:rPr>
      </w:pPr>
      <w:r>
        <w:rPr>
          <w:color w:val="000000"/>
        </w:rPr>
        <w:t>Por</w:t>
      </w:r>
      <w:r w:rsidRPr="006C3F32">
        <w:rPr>
          <w:color w:val="000000"/>
        </w:rPr>
        <w:t xml:space="preserve"> ello, el correo postal adquirió un carácter contra-hegemónico, en tanto que los </w:t>
      </w:r>
      <w:proofErr w:type="spellStart"/>
      <w:r w:rsidRPr="006C3F32">
        <w:rPr>
          <w:color w:val="000000"/>
        </w:rPr>
        <w:t>artecorreístas</w:t>
      </w:r>
      <w:proofErr w:type="spellEnd"/>
      <w:r w:rsidRPr="006C3F32">
        <w:rPr>
          <w:color w:val="000000"/>
        </w:rPr>
        <w:t xml:space="preserve"> se apropiaron del aspecto instrumental -otorgado por el Estado-, para convertirlo en un medio de comunicación que interpelara la participación individual y social originando una red de comunicación alternativa, multilingüe, interactiva, con reglas no dogmáticas e </w:t>
      </w:r>
      <w:proofErr w:type="spellStart"/>
      <w:r w:rsidRPr="006C3F32">
        <w:rPr>
          <w:color w:val="000000"/>
        </w:rPr>
        <w:t>hipertextual</w:t>
      </w:r>
      <w:proofErr w:type="spellEnd"/>
      <w:r w:rsidRPr="006C3F32">
        <w:rPr>
          <w:color w:val="000000"/>
        </w:rPr>
        <w:t xml:space="preserve"> que hizo visible aquello que los medios masivos, el sistema del arte y el mercado expulsaba. Por eso mismo, </w:t>
      </w:r>
      <w:r>
        <w:rPr>
          <w:color w:val="000000"/>
        </w:rPr>
        <w:t xml:space="preserve">el Arte Correo permitió </w:t>
      </w:r>
      <w:r w:rsidRPr="006C3F32">
        <w:rPr>
          <w:color w:val="000000"/>
        </w:rPr>
        <w:t>manifestar temáticas que involucraban las posturas frente al lenguaje hermético del arte como también de los contextos sociales y políticos sesgados por la coyuntura espacio/temporal de cada miembro.</w:t>
      </w:r>
    </w:p>
    <w:p w:rsidR="001A0471" w:rsidRPr="006C3F32" w:rsidRDefault="001A0471" w:rsidP="006C3F32">
      <w:pPr>
        <w:pStyle w:val="NormalWeb"/>
        <w:spacing w:before="0" w:beforeAutospacing="0" w:after="0" w:afterAutospacing="0" w:line="360" w:lineRule="auto"/>
        <w:jc w:val="both"/>
      </w:pPr>
      <w:r w:rsidRPr="006C3F32">
        <w:rPr>
          <w:color w:val="000000"/>
        </w:rPr>
        <w:t xml:space="preserve">El artista platense, Edgardo Antonio Vigo definió a esta práctica como comunicación marginal a distancia, a partir de las lecturas del artista y filósofo francés </w:t>
      </w:r>
      <w:proofErr w:type="spellStart"/>
      <w:r w:rsidRPr="006C3F32">
        <w:rPr>
          <w:color w:val="000000"/>
        </w:rPr>
        <w:t>Hervé</w:t>
      </w:r>
      <w:proofErr w:type="spellEnd"/>
      <w:r w:rsidRPr="006C3F32">
        <w:rPr>
          <w:color w:val="000000"/>
        </w:rPr>
        <w:t xml:space="preserve"> Fischer, quien sostenía que “frente al poder de los medios masivos que no dejan lugar a la participación del receptor, aparecen los </w:t>
      </w:r>
      <w:r w:rsidRPr="006C3F32">
        <w:rPr>
          <w:i/>
          <w:iCs/>
          <w:color w:val="000000"/>
        </w:rPr>
        <w:t>marginal media</w:t>
      </w:r>
      <w:r w:rsidRPr="006C3F32">
        <w:rPr>
          <w:color w:val="000000"/>
        </w:rPr>
        <w:t xml:space="preserve"> como tentativas específicas, limitadas -individuales o emanando de subgrupos minoritarios de la sociedad-, para emitir y difundir respuestas” (Fischer, 1974, citado por Vigo, 1976, s/p). La marginalidad se rebela entonces contra la no-respuesta, “proponiendo un constante cuestionamiento al silencio y persiguiendo la creación de circuitos abiertos de participación, desenvolviéndose individual o grupalmente” </w:t>
      </w:r>
      <w:r w:rsidRPr="00B75C2F">
        <w:rPr>
          <w:color w:val="000000"/>
        </w:rPr>
        <w:t>(Vigo, 1976, s/p).</w:t>
      </w:r>
      <w:r w:rsidRPr="006C3F32">
        <w:rPr>
          <w:color w:val="000000"/>
        </w:rPr>
        <w:t xml:space="preserve">  Vigo comprendía que el Arte Correo era una forma más de expresión estética de las comunicaciones marginales, a la que le suma la palabra distancia. Este agregado, lo llevó a distinguir entre una comunicación universal y una internacional, entendiendo a esta última como tendencia del arte que responde a intereses que reproducen el poder hegemónico: “una información torcida, renuente en cuanto a valores importantes que podrían anexarse para concretar una actitud universalista (no internacional como proponen esos centros). Para conseguir apoyo y permiso (de los centros hegemónicos), el investigador debe aceptar una serie de imposiciones (…) y una serie de condicionamientos que acaban por ser una lamida imagen de lo latinoamericano. O, en </w:t>
      </w:r>
      <w:r w:rsidRPr="006C3F32">
        <w:rPr>
          <w:color w:val="000000"/>
        </w:rPr>
        <w:lastRenderedPageBreak/>
        <w:t xml:space="preserve">última instancia un concepto de lo latinoamericano internacionalizado” </w:t>
      </w:r>
      <w:r w:rsidRPr="00B75C2F">
        <w:rPr>
          <w:color w:val="000000"/>
        </w:rPr>
        <w:t>(Vigo, 1975, s/p).</w:t>
      </w:r>
      <w:r w:rsidRPr="006C3F32">
        <w:rPr>
          <w:color w:val="000000"/>
        </w:rPr>
        <w:t> </w:t>
      </w:r>
    </w:p>
    <w:p w:rsidR="001A0471" w:rsidRPr="006C3F32" w:rsidRDefault="001A0471" w:rsidP="006C3F32">
      <w:pPr>
        <w:pStyle w:val="NormalWeb"/>
        <w:spacing w:before="0" w:beforeAutospacing="0" w:after="0" w:afterAutospacing="0" w:line="360" w:lineRule="auto"/>
        <w:jc w:val="both"/>
        <w:rPr>
          <w:color w:val="000000"/>
        </w:rPr>
      </w:pPr>
      <w:r w:rsidRPr="006C3F32">
        <w:rPr>
          <w:color w:val="000000"/>
        </w:rPr>
        <w:t xml:space="preserve">La comunicación universal de la que habla Vigo refiere a la condición humana de interrelación; es decir, a los modos de estar-con-otro, los cuales configuran tramas de vinculación que otorgan sentido a lo que llamamos la realidad conformando con ello, la densidad de la cultura. Siguiendo esta línea, la red de intercambios emerge como núcleo significativo, en función del pluralismo dialógico que desde la concepción </w:t>
      </w:r>
      <w:proofErr w:type="spellStart"/>
      <w:r w:rsidRPr="006C3F32">
        <w:rPr>
          <w:color w:val="000000"/>
        </w:rPr>
        <w:t>bajtiniana</w:t>
      </w:r>
      <w:proofErr w:type="spellEnd"/>
      <w:r w:rsidRPr="006C3F32">
        <w:rPr>
          <w:color w:val="000000"/>
        </w:rPr>
        <w:t xml:space="preserve"> implica un proceso “amplio y complejo, puesto que está sostenido por una perspectiva filosófica de carácter antropológico acerca del papel de la alteridad en la constitución del sujeto humano y de la interacción subjetiva como conformadora del yo” (Arán, 2006, p. 83). De tal forma, el Arte Correo demandaba un contacto directo entre los practicantes para crear posibilidades nuevas de comunicación, “con suficiente dosis de inconformismo, subversión y relaciones globales y particulares” (Vigo, 1976, s/p). Esto favorecía la multiplicidad de voces y de saberes llevando a la construcción de una memoria colectiva mediante el “testimonio crítico de las realidades socio/político/económicas” (Vigo, 1976, s/p).</w:t>
      </w:r>
    </w:p>
    <w:p w:rsidR="001A0471" w:rsidRDefault="001A0471" w:rsidP="00AF4A1D">
      <w:pPr>
        <w:pStyle w:val="NormalWeb"/>
        <w:spacing w:before="0" w:beforeAutospacing="0" w:after="0" w:afterAutospacing="0"/>
        <w:jc w:val="both"/>
        <w:rPr>
          <w:color w:val="000000"/>
          <w:sz w:val="22"/>
          <w:szCs w:val="22"/>
        </w:rPr>
      </w:pPr>
    </w:p>
    <w:p w:rsidR="001A0471" w:rsidRPr="00AF4A1D" w:rsidRDefault="001A0471" w:rsidP="00AF4A1D">
      <w:pPr>
        <w:pStyle w:val="NormalWeb"/>
        <w:spacing w:before="0" w:beforeAutospacing="0" w:after="0" w:afterAutospacing="0"/>
        <w:jc w:val="both"/>
        <w:rPr>
          <w:b/>
        </w:rPr>
      </w:pPr>
      <w:r w:rsidRPr="00AF4A1D">
        <w:rPr>
          <w:b/>
          <w:color w:val="000000"/>
        </w:rPr>
        <w:t>Una práctica estética de denuncia y resistencia en Latinoamérica</w:t>
      </w:r>
    </w:p>
    <w:p w:rsidR="001A0471" w:rsidRDefault="001A0471" w:rsidP="006C3F32">
      <w:pPr>
        <w:pStyle w:val="NormalWeb"/>
        <w:spacing w:line="360" w:lineRule="auto"/>
        <w:jc w:val="both"/>
      </w:pPr>
      <w:r>
        <w:t>Se conoce que las primeras manifestaciones de</w:t>
      </w:r>
      <w:r w:rsidRPr="006C3F32">
        <w:t xml:space="preserve"> arte postal</w:t>
      </w:r>
      <w:r>
        <w:t xml:space="preserve">, en América Latina involucraron a los artistas  argentinos </w:t>
      </w:r>
      <w:r w:rsidRPr="006C3F32">
        <w:t xml:space="preserve">Liliana </w:t>
      </w:r>
      <w:proofErr w:type="spellStart"/>
      <w:r w:rsidRPr="006C3F32">
        <w:t>Porter</w:t>
      </w:r>
      <w:proofErr w:type="spellEnd"/>
      <w:r w:rsidRPr="006C3F32">
        <w:t xml:space="preserve"> </w:t>
      </w:r>
      <w:r>
        <w:t xml:space="preserve">y Luis </w:t>
      </w:r>
      <w:proofErr w:type="spellStart"/>
      <w:r>
        <w:t>Camnitzer</w:t>
      </w:r>
      <w:proofErr w:type="spellEnd"/>
      <w:r>
        <w:t>, al uruguayo</w:t>
      </w:r>
      <w:r w:rsidRPr="006C3F32">
        <w:t xml:space="preserve"> Clem</w:t>
      </w:r>
      <w:r>
        <w:t xml:space="preserve">ente </w:t>
      </w:r>
      <w:proofErr w:type="spellStart"/>
      <w:r>
        <w:t>Padí</w:t>
      </w:r>
      <w:r>
        <w:softHyphen/>
        <w:t>n</w:t>
      </w:r>
      <w:proofErr w:type="spellEnd"/>
      <w:r>
        <w:t>, a</w:t>
      </w:r>
      <w:r w:rsidRPr="006C3F32">
        <w:t xml:space="preserve"> Guillermo </w:t>
      </w:r>
      <w:proofErr w:type="spellStart"/>
      <w:r w:rsidRPr="006C3F32">
        <w:t>Deisler</w:t>
      </w:r>
      <w:proofErr w:type="spellEnd"/>
      <w:r w:rsidRPr="006C3F32">
        <w:t xml:space="preserve"> (1940)</w:t>
      </w:r>
      <w:r>
        <w:t xml:space="preserve"> de Chile y Pedro </w:t>
      </w:r>
      <w:proofErr w:type="spellStart"/>
      <w:r>
        <w:t>Lyra</w:t>
      </w:r>
      <w:proofErr w:type="spellEnd"/>
      <w:r>
        <w:t>, quien en Brasil publicó</w:t>
      </w:r>
      <w:r w:rsidRPr="006C3F32">
        <w:t xml:space="preserve"> el </w:t>
      </w:r>
      <w:r>
        <w:t>“</w:t>
      </w:r>
      <w:r w:rsidRPr="006C3F32">
        <w:t>Manifiesto de Arte Postal</w:t>
      </w:r>
      <w:r>
        <w:t>” (1970)</w:t>
      </w:r>
      <w:r w:rsidRPr="006C3F32">
        <w:t xml:space="preserve">. </w:t>
      </w:r>
      <w:r>
        <w:t>La primera exposición que se re</w:t>
      </w:r>
      <w:r w:rsidR="002D653B">
        <w:t xml:space="preserve">alizó con  registro documental </w:t>
      </w:r>
      <w:r>
        <w:t xml:space="preserve">fue </w:t>
      </w:r>
      <w:r w:rsidRPr="006C3F32">
        <w:t xml:space="preserve">el </w:t>
      </w:r>
      <w:r>
        <w:t>“</w:t>
      </w:r>
      <w:r w:rsidRPr="006C3F32">
        <w:t>Festival de la Postal Creativa</w:t>
      </w:r>
      <w:r>
        <w:t xml:space="preserve">” (Montevideo, 1974), la cual se constituyó como el inicio de </w:t>
      </w:r>
      <w:r w:rsidRPr="006C3F32">
        <w:t>innumerables muestras</w:t>
      </w:r>
      <w:r>
        <w:t xml:space="preserve"> que comenzaron </w:t>
      </w:r>
      <w:r w:rsidRPr="006C3F32">
        <w:t>a organizarse,</w:t>
      </w:r>
      <w:r>
        <w:t xml:space="preserve"> entre las que podemos mencionar la</w:t>
      </w:r>
      <w:r w:rsidRPr="006C3F32">
        <w:t xml:space="preserve"> </w:t>
      </w:r>
      <w:r w:rsidRPr="00420219">
        <w:rPr>
          <w:i/>
        </w:rPr>
        <w:t>Última Exposición Internacional de Arte Postal</w:t>
      </w:r>
      <w:r w:rsidRPr="006C3F32">
        <w:t xml:space="preserve"> (La Plata, </w:t>
      </w:r>
      <w:r>
        <w:t>Argentina, 1975),</w:t>
      </w:r>
      <w:r w:rsidRPr="006C3F32">
        <w:t xml:space="preserve"> </w:t>
      </w:r>
      <w:proofErr w:type="spellStart"/>
      <w:r w:rsidRPr="00420219">
        <w:rPr>
          <w:i/>
        </w:rPr>
        <w:t>Primeira</w:t>
      </w:r>
      <w:proofErr w:type="spellEnd"/>
      <w:r w:rsidRPr="00420219">
        <w:rPr>
          <w:i/>
        </w:rPr>
        <w:t xml:space="preserve"> Internacional de Arte Postal</w:t>
      </w:r>
      <w:r>
        <w:t xml:space="preserve"> y </w:t>
      </w:r>
      <w:proofErr w:type="spellStart"/>
      <w:r w:rsidRPr="00420219">
        <w:rPr>
          <w:i/>
        </w:rPr>
        <w:t>Primeira</w:t>
      </w:r>
      <w:proofErr w:type="spellEnd"/>
      <w:r w:rsidRPr="00420219">
        <w:rPr>
          <w:i/>
        </w:rPr>
        <w:t xml:space="preserve"> </w:t>
      </w:r>
      <w:proofErr w:type="spellStart"/>
      <w:r w:rsidRPr="00420219">
        <w:rPr>
          <w:i/>
        </w:rPr>
        <w:t>Exposií§í£o</w:t>
      </w:r>
      <w:proofErr w:type="spellEnd"/>
      <w:r w:rsidRPr="00420219">
        <w:rPr>
          <w:i/>
        </w:rPr>
        <w:t xml:space="preserve"> Internacional de Arte Postal</w:t>
      </w:r>
      <w:r>
        <w:t xml:space="preserve"> (Brasil, 1975). </w:t>
      </w:r>
    </w:p>
    <w:p w:rsidR="001A0471" w:rsidRDefault="001A0471" w:rsidP="006C3F32">
      <w:pPr>
        <w:pStyle w:val="NormalWeb"/>
        <w:spacing w:line="360" w:lineRule="auto"/>
        <w:jc w:val="both"/>
      </w:pPr>
      <w:r w:rsidRPr="006C3F32">
        <w:t>El contexto polí</w:t>
      </w:r>
      <w:r w:rsidRPr="006C3F32">
        <w:softHyphen/>
        <w:t xml:space="preserve">tico </w:t>
      </w:r>
      <w:r>
        <w:t>de dichas exposiciones estaba</w:t>
      </w:r>
      <w:r w:rsidRPr="006C3F32">
        <w:t xml:space="preserve"> marcado por la</w:t>
      </w:r>
      <w:r>
        <w:t xml:space="preserve"> violencia, represión y censura que caracterizó a</w:t>
      </w:r>
      <w:r w:rsidRPr="006C3F32">
        <w:t xml:space="preserve"> los Regí</w:t>
      </w:r>
      <w:r w:rsidRPr="006C3F32">
        <w:softHyphen/>
        <w:t xml:space="preserve">menes Militares que </w:t>
      </w:r>
      <w:r>
        <w:t>durante la década del `70 fueron asumiendo</w:t>
      </w:r>
      <w:r w:rsidRPr="006C3F32">
        <w:t xml:space="preserve"> el poder</w:t>
      </w:r>
      <w:r>
        <w:t xml:space="preserve"> estatal,</w:t>
      </w:r>
      <w:r w:rsidRPr="006C3F32">
        <w:t xml:space="preserve"> en varios paí</w:t>
      </w:r>
      <w:r w:rsidRPr="006C3F32">
        <w:softHyphen/>
        <w:t xml:space="preserve">ses de la América Latina. </w:t>
      </w:r>
      <w:r>
        <w:t xml:space="preserve">Sin embargo, estos mecanismos de control social no imposibilitaron que diversos artistas siguieran manifestando sus compromisos con las causas sociales. Actuando entonces bajo los </w:t>
      </w:r>
      <w:r>
        <w:lastRenderedPageBreak/>
        <w:t xml:space="preserve">regímenes militares, los artistas </w:t>
      </w:r>
      <w:r w:rsidRPr="006C3F32">
        <w:t xml:space="preserve">crearon estrategias </w:t>
      </w:r>
      <w:r>
        <w:t>de comunicación con el objetivo de incidir en el cerco de la libertad de expresión y de la denuncia</w:t>
      </w:r>
      <w:r>
        <w:rPr>
          <w:color w:val="000000"/>
          <w:sz w:val="22"/>
          <w:szCs w:val="22"/>
        </w:rPr>
        <w:t xml:space="preserve"> </w:t>
      </w:r>
      <w:r>
        <w:t>al sistema opresor.</w:t>
      </w:r>
    </w:p>
    <w:p w:rsidR="001A0471" w:rsidRPr="002D653B" w:rsidRDefault="001A0471" w:rsidP="006C3F32">
      <w:pPr>
        <w:pStyle w:val="NormalWeb"/>
        <w:spacing w:line="360" w:lineRule="auto"/>
        <w:jc w:val="both"/>
        <w:rPr>
          <w:b/>
        </w:rPr>
      </w:pPr>
      <w:r w:rsidRPr="002D653B">
        <w:rPr>
          <w:b/>
        </w:rPr>
        <w:t>Imágenes</w:t>
      </w:r>
    </w:p>
    <w:p w:rsidR="001A0471" w:rsidRPr="006C3F32" w:rsidRDefault="001A0471" w:rsidP="006C3F32">
      <w:pPr>
        <w:pStyle w:val="NormalWeb"/>
        <w:shd w:val="clear" w:color="auto" w:fill="FFFFFF"/>
        <w:spacing w:before="0" w:beforeAutospacing="0" w:after="0" w:afterAutospacing="0" w:line="360" w:lineRule="auto"/>
        <w:ind w:right="200"/>
        <w:jc w:val="both"/>
      </w:pPr>
      <w:r w:rsidRPr="006C3F32">
        <w:rPr>
          <w:color w:val="000000"/>
        </w:rPr>
        <w:t>Podemos decir que el propio contexto represor de las dictaduras posibilitó el desarrollo del Arte Correo en Latinoamérica, ya que el mismo “surgió como una actividad conectada a la resistencia contra la represión política y cultural que convulsionaba al continente” (</w:t>
      </w:r>
      <w:proofErr w:type="spellStart"/>
      <w:r w:rsidRPr="00B75C2F">
        <w:rPr>
          <w:color w:val="000000"/>
        </w:rPr>
        <w:t>Gache</w:t>
      </w:r>
      <w:proofErr w:type="spellEnd"/>
      <w:r w:rsidRPr="00B75C2F">
        <w:rPr>
          <w:color w:val="000000"/>
        </w:rPr>
        <w:t>, 2005, p.42).</w:t>
      </w:r>
      <w:r w:rsidRPr="006C3F32">
        <w:rPr>
          <w:color w:val="000000"/>
        </w:rPr>
        <w:t xml:space="preserve"> Pero estas acciones tuvieron consecuencias para algunos de ellos como la clausura por los militares brasileños de la </w:t>
      </w:r>
      <w:r w:rsidRPr="006C3F32">
        <w:rPr>
          <w:i/>
          <w:iCs/>
          <w:color w:val="000000"/>
        </w:rPr>
        <w:t>II </w:t>
      </w:r>
      <w:proofErr w:type="spellStart"/>
      <w:r w:rsidRPr="006C3F32">
        <w:rPr>
          <w:i/>
          <w:iCs/>
          <w:color w:val="000000"/>
        </w:rPr>
        <w:t>Esposiçao</w:t>
      </w:r>
      <w:proofErr w:type="spellEnd"/>
      <w:r w:rsidRPr="006C3F32">
        <w:rPr>
          <w:i/>
          <w:iCs/>
          <w:color w:val="000000"/>
        </w:rPr>
        <w:t> Internacional de Arte Correo</w:t>
      </w:r>
      <w:r w:rsidRPr="006C3F32">
        <w:rPr>
          <w:color w:val="000000"/>
        </w:rPr>
        <w:t xml:space="preserve"> (1976), organizada por Paulo </w:t>
      </w:r>
      <w:proofErr w:type="spellStart"/>
      <w:r w:rsidRPr="006C3F32">
        <w:rPr>
          <w:color w:val="000000"/>
        </w:rPr>
        <w:t>Bruscky</w:t>
      </w:r>
      <w:proofErr w:type="spellEnd"/>
      <w:r w:rsidRPr="006C3F32">
        <w:rPr>
          <w:color w:val="000000"/>
        </w:rPr>
        <w:t xml:space="preserve"> y Daniel Santiago en Recife,  el exilio Guillermo </w:t>
      </w:r>
      <w:proofErr w:type="spellStart"/>
      <w:r w:rsidRPr="006C3F32">
        <w:rPr>
          <w:color w:val="000000"/>
        </w:rPr>
        <w:t>Deisler</w:t>
      </w:r>
      <w:proofErr w:type="spellEnd"/>
      <w:r w:rsidRPr="006C3F32">
        <w:rPr>
          <w:color w:val="000000"/>
        </w:rPr>
        <w:t xml:space="preserve"> a partir del golpe de Pinochet y la ITT contra Allende, la desaparición de Palomo Vigo, hijo del artista Edgardo A. Vigo, la tortura y encarcelamiento por largos años de los uruguayos Jorge Caraballo y Clemente </w:t>
      </w:r>
      <w:proofErr w:type="spellStart"/>
      <w:r w:rsidRPr="006C3F32">
        <w:rPr>
          <w:color w:val="000000"/>
        </w:rPr>
        <w:t>Padín</w:t>
      </w:r>
      <w:proofErr w:type="spellEnd"/>
      <w:r w:rsidRPr="006C3F32">
        <w:rPr>
          <w:color w:val="000000"/>
        </w:rPr>
        <w:t>, la persecución, encarcelamiento y destierro del artista correo salvadoreño Jesús Romeo Galdámez, la suspensión de los derechos civiles de Andrés Díaz Espinoza, hijo del artista correo Eduardo Díaz Espinoza,  entre otros casos</w:t>
      </w:r>
      <w:r w:rsidRPr="006C3F32">
        <w:rPr>
          <w:color w:val="292929"/>
        </w:rPr>
        <w:t>.</w:t>
      </w:r>
    </w:p>
    <w:p w:rsidR="001A0471" w:rsidRDefault="001A0471" w:rsidP="006C3F32">
      <w:pPr>
        <w:spacing w:after="0" w:line="360" w:lineRule="auto"/>
        <w:jc w:val="both"/>
        <w:rPr>
          <w:rFonts w:ascii="Times New Roman" w:hAnsi="Times New Roman"/>
          <w:color w:val="000000"/>
          <w:sz w:val="24"/>
          <w:szCs w:val="24"/>
        </w:rPr>
      </w:pPr>
    </w:p>
    <w:p w:rsidR="001A0471" w:rsidRPr="006C3F32" w:rsidRDefault="001A0471" w:rsidP="006C3F32">
      <w:pPr>
        <w:spacing w:after="0" w:line="360" w:lineRule="auto"/>
        <w:jc w:val="both"/>
        <w:rPr>
          <w:rFonts w:ascii="Times New Roman" w:hAnsi="Times New Roman"/>
          <w:color w:val="000000"/>
          <w:sz w:val="24"/>
          <w:szCs w:val="24"/>
        </w:rPr>
      </w:pPr>
      <w:r w:rsidRPr="006C3F32">
        <w:rPr>
          <w:rFonts w:ascii="Times New Roman" w:hAnsi="Times New Roman"/>
          <w:color w:val="000000"/>
          <w:sz w:val="24"/>
          <w:szCs w:val="24"/>
        </w:rPr>
        <w:t xml:space="preserve">A partir de 1980 y con la restauración de los sistemas democráticos, el Arte Correo fue un medio eficaz de representación de la memoria vinculada al pasado inmediato, el de las dictaduras. Una práctica que inscripta en una carta exhibió texturas emocionales mediante los lenguajes estéticos para visualizar y reflexionar sobre lo sucedido en esos años acumulando experiencias que configuran las formas del recuerdo. Es así que el circuito de intercambio se revitalizó, a partir de acciones concretas y significativas como la  inclusión del Arte Postal en una de las secciones de la </w:t>
      </w:r>
      <w:r w:rsidRPr="006C3F32">
        <w:rPr>
          <w:rFonts w:ascii="Times New Roman" w:hAnsi="Times New Roman"/>
          <w:i/>
          <w:iCs/>
          <w:color w:val="000000"/>
          <w:sz w:val="24"/>
          <w:szCs w:val="24"/>
        </w:rPr>
        <w:t>XVI Bienal de San Pablo</w:t>
      </w:r>
      <w:r w:rsidRPr="006C3F32">
        <w:rPr>
          <w:rFonts w:ascii="Times New Roman" w:hAnsi="Times New Roman"/>
          <w:color w:val="000000"/>
          <w:sz w:val="24"/>
          <w:szCs w:val="24"/>
        </w:rPr>
        <w:t xml:space="preserve">, Brasil (1981), la creación del grupo “Solidarte” en México (1982) y, posteriormente, el “Colectivo 3”, los que impulsaron exposiciones sobre aspectos críticos de la realidad latinoamericana. La muestra </w:t>
      </w:r>
      <w:r w:rsidRPr="006C3F32">
        <w:rPr>
          <w:rFonts w:ascii="Times New Roman" w:hAnsi="Times New Roman"/>
          <w:i/>
          <w:iCs/>
          <w:color w:val="000000"/>
          <w:sz w:val="24"/>
          <w:szCs w:val="24"/>
        </w:rPr>
        <w:t>1ro de Mayo</w:t>
      </w:r>
      <w:r w:rsidRPr="006C3F32">
        <w:rPr>
          <w:rFonts w:ascii="Times New Roman" w:hAnsi="Times New Roman"/>
          <w:color w:val="000000"/>
          <w:sz w:val="24"/>
          <w:szCs w:val="24"/>
        </w:rPr>
        <w:t xml:space="preserve"> realizada por la Asociación Uruguaya de Artistas Postales, en el sindicato de Trabajadores Bancarios, en Montevideo (1983), la exposición </w:t>
      </w:r>
      <w:r w:rsidRPr="006C3F32">
        <w:rPr>
          <w:rFonts w:ascii="Times New Roman" w:hAnsi="Times New Roman"/>
          <w:i/>
          <w:iCs/>
          <w:color w:val="000000"/>
          <w:sz w:val="24"/>
          <w:szCs w:val="24"/>
        </w:rPr>
        <w:t>Desaparecidos Políticos de Nuestra América</w:t>
      </w:r>
      <w:r w:rsidRPr="006C3F32">
        <w:rPr>
          <w:rFonts w:ascii="Times New Roman" w:hAnsi="Times New Roman"/>
          <w:color w:val="000000"/>
          <w:sz w:val="24"/>
          <w:szCs w:val="24"/>
        </w:rPr>
        <w:t xml:space="preserve"> organizada por el grupo “Solidarte” que al contar con el apoyo masivo de </w:t>
      </w:r>
      <w:proofErr w:type="spellStart"/>
      <w:r w:rsidRPr="006C3F32">
        <w:rPr>
          <w:rFonts w:ascii="Times New Roman" w:hAnsi="Times New Roman"/>
          <w:color w:val="000000"/>
          <w:sz w:val="24"/>
          <w:szCs w:val="24"/>
        </w:rPr>
        <w:t>artecorreístas</w:t>
      </w:r>
      <w:proofErr w:type="spellEnd"/>
      <w:r w:rsidRPr="006C3F32">
        <w:rPr>
          <w:rFonts w:ascii="Times New Roman" w:hAnsi="Times New Roman"/>
          <w:color w:val="000000"/>
          <w:sz w:val="24"/>
          <w:szCs w:val="24"/>
        </w:rPr>
        <w:t xml:space="preserve"> latinoamericanos obtuviera Mención Especial en la </w:t>
      </w:r>
      <w:r w:rsidRPr="006C3F32">
        <w:rPr>
          <w:rFonts w:ascii="Times New Roman" w:hAnsi="Times New Roman"/>
          <w:i/>
          <w:iCs/>
          <w:color w:val="000000"/>
          <w:sz w:val="24"/>
          <w:szCs w:val="24"/>
        </w:rPr>
        <w:t>1ra Bienal de la Habana</w:t>
      </w:r>
      <w:r w:rsidRPr="006C3F32">
        <w:rPr>
          <w:rFonts w:ascii="Times New Roman" w:hAnsi="Times New Roman"/>
          <w:color w:val="000000"/>
          <w:sz w:val="24"/>
          <w:szCs w:val="24"/>
        </w:rPr>
        <w:t xml:space="preserve">, Cuba (1984). La creación de la Asociación Latinoamericana y del Caribe de Artistas Postales en Rosario, Argentina y su exposición internacional de Arte Postal generada por Jorge </w:t>
      </w:r>
      <w:r w:rsidRPr="006C3F32">
        <w:rPr>
          <w:rFonts w:ascii="Times New Roman" w:hAnsi="Times New Roman"/>
          <w:color w:val="000000"/>
          <w:sz w:val="24"/>
          <w:szCs w:val="24"/>
        </w:rPr>
        <w:lastRenderedPageBreak/>
        <w:t>Orta (1984). Entre las actividades de dicha Asociación se destaca la campaña mundial en torno a la libertad de Andrés Díaz, las declaraciones por la soberanía de Nicaragua y el cese de torturas y asesinatos en Chile como también, el inicio de una convocatoria de recolección de firmas reclamando la libertad de Nelson Mandela.</w:t>
      </w:r>
    </w:p>
    <w:p w:rsidR="000542D0" w:rsidRPr="000A478B" w:rsidRDefault="001A0471" w:rsidP="000A478B">
      <w:pPr>
        <w:spacing w:after="0" w:line="360" w:lineRule="auto"/>
        <w:jc w:val="both"/>
        <w:rPr>
          <w:rFonts w:ascii="Times New Roman" w:hAnsi="Times New Roman"/>
        </w:rPr>
      </w:pPr>
      <w:r w:rsidRPr="008D233B">
        <w:rPr>
          <w:rFonts w:ascii="Times New Roman" w:hAnsi="Times New Roman"/>
          <w:sz w:val="24"/>
          <w:szCs w:val="24"/>
        </w:rPr>
        <w:t>La sistematización de estos materiales</w:t>
      </w:r>
      <w:r w:rsidR="000542D0">
        <w:rPr>
          <w:rFonts w:ascii="Times New Roman" w:hAnsi="Times New Roman"/>
          <w:sz w:val="24"/>
          <w:szCs w:val="24"/>
        </w:rPr>
        <w:t xml:space="preserve"> que en su mayoría se encuentran en archivos </w:t>
      </w:r>
      <w:r w:rsidR="000A478B">
        <w:rPr>
          <w:rFonts w:ascii="Times New Roman" w:hAnsi="Times New Roman"/>
        </w:rPr>
        <w:t xml:space="preserve">personales de los artistas, </w:t>
      </w:r>
      <w:r>
        <w:rPr>
          <w:rFonts w:ascii="Times New Roman" w:hAnsi="Times New Roman"/>
          <w:sz w:val="24"/>
          <w:szCs w:val="24"/>
        </w:rPr>
        <w:t>posibilita</w:t>
      </w:r>
      <w:r w:rsidRPr="008D233B">
        <w:rPr>
          <w:rFonts w:ascii="Times New Roman" w:hAnsi="Times New Roman"/>
          <w:sz w:val="24"/>
          <w:szCs w:val="24"/>
        </w:rPr>
        <w:t xml:space="preserve"> diversas claves</w:t>
      </w:r>
      <w:r w:rsidR="000009C0">
        <w:rPr>
          <w:rFonts w:ascii="Times New Roman" w:hAnsi="Times New Roman"/>
          <w:sz w:val="24"/>
          <w:szCs w:val="24"/>
        </w:rPr>
        <w:t xml:space="preserve"> de lectura, en la relación de la Historia y la Memoria. Por un lado, la </w:t>
      </w:r>
      <w:r w:rsidR="000009C0">
        <w:rPr>
          <w:rFonts w:ascii="Times New Roman" w:hAnsi="Times New Roman"/>
        </w:rPr>
        <w:t>organización de la documentación permite la protección y difusión del patrimonio cultural habiendo sido éste, el sitio legitimado po</w:t>
      </w:r>
      <w:r w:rsidR="000A478B">
        <w:rPr>
          <w:rFonts w:ascii="Times New Roman" w:hAnsi="Times New Roman"/>
        </w:rPr>
        <w:t>r la Historia.</w:t>
      </w:r>
      <w:r w:rsidR="000A478B" w:rsidRPr="000A478B">
        <w:rPr>
          <w:rFonts w:ascii="Times New Roman" w:hAnsi="Times New Roman"/>
        </w:rPr>
        <w:t xml:space="preserve"> </w:t>
      </w:r>
      <w:r w:rsidR="000A478B">
        <w:rPr>
          <w:rFonts w:ascii="Times New Roman" w:hAnsi="Times New Roman"/>
        </w:rPr>
        <w:t>En la actualidad, esta noción de patrimonio</w:t>
      </w:r>
      <w:r w:rsidR="000009C0">
        <w:rPr>
          <w:rFonts w:ascii="Times New Roman" w:hAnsi="Times New Roman"/>
        </w:rPr>
        <w:t xml:space="preserve"> </w:t>
      </w:r>
      <w:r w:rsidR="000A478B">
        <w:rPr>
          <w:rFonts w:ascii="Times New Roman" w:hAnsi="Times New Roman"/>
        </w:rPr>
        <w:t>es discutida bajo el estudio de la “dimensión colonialista” de los archivos, en términos de la vinculación con los discursos hegemónicos (Verón, 1</w:t>
      </w:r>
      <w:r w:rsidR="003C5EAF">
        <w:rPr>
          <w:rFonts w:ascii="Times New Roman" w:hAnsi="Times New Roman"/>
        </w:rPr>
        <w:t>987), los cuales se generan</w:t>
      </w:r>
      <w:r w:rsidR="000A478B">
        <w:rPr>
          <w:rFonts w:ascii="Times New Roman" w:hAnsi="Times New Roman"/>
        </w:rPr>
        <w:t xml:space="preserve"> mediante normas consensuadas por la vigilancia y el ejercicio del poder para la conservación de un patrimonio cultural</w:t>
      </w:r>
      <w:r w:rsidR="003C5EAF">
        <w:rPr>
          <w:rFonts w:ascii="Times New Roman" w:hAnsi="Times New Roman"/>
        </w:rPr>
        <w:t>,</w:t>
      </w:r>
      <w:r w:rsidR="000A478B">
        <w:rPr>
          <w:rFonts w:ascii="Times New Roman" w:hAnsi="Times New Roman"/>
        </w:rPr>
        <w:t xml:space="preserve"> y los fondos documentales “</w:t>
      </w:r>
      <w:r w:rsidR="000A478B" w:rsidRPr="003A67D9">
        <w:rPr>
          <w:rFonts w:ascii="Times New Roman" w:hAnsi="Times New Roman"/>
        </w:rPr>
        <w:t xml:space="preserve">disidentes, comunitarios o </w:t>
      </w:r>
      <w:proofErr w:type="spellStart"/>
      <w:r w:rsidR="000A478B" w:rsidRPr="003A67D9">
        <w:rPr>
          <w:rFonts w:ascii="Times New Roman" w:hAnsi="Times New Roman"/>
        </w:rPr>
        <w:t>anarchiv</w:t>
      </w:r>
      <w:r w:rsidR="000A478B">
        <w:rPr>
          <w:rFonts w:ascii="Times New Roman" w:hAnsi="Times New Roman"/>
        </w:rPr>
        <w:t>os</w:t>
      </w:r>
      <w:proofErr w:type="spellEnd"/>
      <w:r w:rsidR="000A478B">
        <w:rPr>
          <w:rFonts w:ascii="Times New Roman" w:hAnsi="Times New Roman"/>
        </w:rPr>
        <w:t xml:space="preserve">” (Muñoz Iglesias, 2017: 63), que surgen por una necesidad de recuperar la memoria de </w:t>
      </w:r>
      <w:r w:rsidR="000A478B" w:rsidRPr="003A67D9">
        <w:rPr>
          <w:rFonts w:ascii="Times New Roman" w:hAnsi="Times New Roman"/>
        </w:rPr>
        <w:t xml:space="preserve">un conjunto de </w:t>
      </w:r>
      <w:r w:rsidR="000A478B">
        <w:rPr>
          <w:rFonts w:ascii="Times New Roman" w:hAnsi="Times New Roman"/>
        </w:rPr>
        <w:t xml:space="preserve">experiencias que </w:t>
      </w:r>
      <w:r w:rsidR="000A478B" w:rsidRPr="008D233B">
        <w:rPr>
          <w:rFonts w:ascii="Times New Roman" w:hAnsi="Times New Roman"/>
          <w:sz w:val="24"/>
          <w:szCs w:val="24"/>
        </w:rPr>
        <w:t>ha</w:t>
      </w:r>
      <w:r w:rsidR="000A478B">
        <w:rPr>
          <w:rFonts w:ascii="Times New Roman" w:hAnsi="Times New Roman"/>
          <w:sz w:val="24"/>
          <w:szCs w:val="24"/>
        </w:rPr>
        <w:t>n</w:t>
      </w:r>
      <w:r w:rsidR="000A478B" w:rsidRPr="008D233B">
        <w:rPr>
          <w:rFonts w:ascii="Times New Roman" w:hAnsi="Times New Roman"/>
          <w:sz w:val="24"/>
          <w:szCs w:val="24"/>
        </w:rPr>
        <w:t xml:space="preserve"> quedado minimiza</w:t>
      </w:r>
      <w:r w:rsidR="003C5EAF">
        <w:rPr>
          <w:rFonts w:ascii="Times New Roman" w:hAnsi="Times New Roman"/>
          <w:sz w:val="24"/>
          <w:szCs w:val="24"/>
        </w:rPr>
        <w:t>da por los relatos canónicos de la Historia del Arte O</w:t>
      </w:r>
      <w:r w:rsidR="000A478B" w:rsidRPr="008D233B">
        <w:rPr>
          <w:rFonts w:ascii="Times New Roman" w:hAnsi="Times New Roman"/>
          <w:sz w:val="24"/>
          <w:szCs w:val="24"/>
        </w:rPr>
        <w:t>ccidental.</w:t>
      </w:r>
      <w:r w:rsidR="003C5EAF">
        <w:rPr>
          <w:rFonts w:ascii="Times New Roman" w:hAnsi="Times New Roman"/>
        </w:rPr>
        <w:t xml:space="preserve"> </w:t>
      </w:r>
      <w:r w:rsidR="000A478B">
        <w:rPr>
          <w:rFonts w:ascii="Times New Roman" w:hAnsi="Times New Roman"/>
        </w:rPr>
        <w:t xml:space="preserve">En línea con ello, la </w:t>
      </w:r>
      <w:proofErr w:type="spellStart"/>
      <w:r w:rsidR="000A478B">
        <w:rPr>
          <w:rFonts w:ascii="Times New Roman" w:hAnsi="Times New Roman"/>
        </w:rPr>
        <w:t>visibilización</w:t>
      </w:r>
      <w:proofErr w:type="spellEnd"/>
      <w:r w:rsidR="000A478B">
        <w:rPr>
          <w:rFonts w:ascii="Times New Roman" w:hAnsi="Times New Roman"/>
        </w:rPr>
        <w:t xml:space="preserve"> de estos documentos habilitan </w:t>
      </w:r>
      <w:r w:rsidR="000542D0">
        <w:rPr>
          <w:rFonts w:ascii="Times New Roman" w:hAnsi="Times New Roman"/>
        </w:rPr>
        <w:t xml:space="preserve">el </w:t>
      </w:r>
      <w:r w:rsidR="000009C0" w:rsidRPr="003A67D9">
        <w:rPr>
          <w:rFonts w:ascii="Times New Roman" w:hAnsi="Times New Roman"/>
        </w:rPr>
        <w:t>registro y conservación de “memorias desplazadas por los discursos oficialistas</w:t>
      </w:r>
      <w:r w:rsidR="000A478B">
        <w:rPr>
          <w:rFonts w:ascii="Times New Roman" w:hAnsi="Times New Roman"/>
        </w:rPr>
        <w:t xml:space="preserve">” (Muñoz Iglesias, 2017: 63), permitiendo </w:t>
      </w:r>
      <w:r w:rsidR="000542D0">
        <w:rPr>
          <w:rFonts w:ascii="Times New Roman" w:hAnsi="Times New Roman"/>
        </w:rPr>
        <w:t xml:space="preserve">recuperar en el presente la memoria </w:t>
      </w:r>
      <w:r w:rsidR="000542D0">
        <w:rPr>
          <w:rFonts w:ascii="Times New Roman" w:hAnsi="Times New Roman"/>
          <w:sz w:val="24"/>
          <w:szCs w:val="24"/>
        </w:rPr>
        <w:t>descentralizada y regional de</w:t>
      </w:r>
      <w:r w:rsidRPr="008D233B">
        <w:rPr>
          <w:rFonts w:ascii="Times New Roman" w:hAnsi="Times New Roman"/>
          <w:sz w:val="24"/>
          <w:szCs w:val="24"/>
        </w:rPr>
        <w:t xml:space="preserve"> cartografías</w:t>
      </w:r>
      <w:r w:rsidR="000542D0">
        <w:rPr>
          <w:rFonts w:ascii="Times New Roman" w:hAnsi="Times New Roman"/>
          <w:sz w:val="24"/>
          <w:szCs w:val="24"/>
        </w:rPr>
        <w:t xml:space="preserve"> estético/políticas</w:t>
      </w:r>
      <w:r w:rsidR="003C5EAF">
        <w:rPr>
          <w:rFonts w:ascii="Times New Roman" w:hAnsi="Times New Roman"/>
          <w:sz w:val="24"/>
          <w:szCs w:val="24"/>
        </w:rPr>
        <w:t xml:space="preserve"> que servirán para narrar la historia de nuestros pueblos. </w:t>
      </w:r>
    </w:p>
    <w:p w:rsidR="003C5EAF" w:rsidRDefault="003C5EAF" w:rsidP="003C5EAF">
      <w:pPr>
        <w:spacing w:after="0" w:line="360" w:lineRule="auto"/>
        <w:jc w:val="both"/>
        <w:rPr>
          <w:rFonts w:ascii="Times New Roman" w:hAnsi="Times New Roman"/>
          <w:b/>
          <w:color w:val="000000"/>
        </w:rPr>
      </w:pPr>
    </w:p>
    <w:p w:rsidR="001A0471" w:rsidRPr="003C5EAF" w:rsidRDefault="001A0471" w:rsidP="003C5EAF">
      <w:pPr>
        <w:spacing w:after="0" w:line="360" w:lineRule="auto"/>
        <w:jc w:val="both"/>
        <w:rPr>
          <w:rFonts w:ascii="Times New Roman" w:hAnsi="Times New Roman"/>
          <w:sz w:val="24"/>
          <w:szCs w:val="24"/>
        </w:rPr>
      </w:pPr>
      <w:r w:rsidRPr="003C5EAF">
        <w:rPr>
          <w:rFonts w:ascii="Times New Roman" w:hAnsi="Times New Roman"/>
          <w:b/>
          <w:sz w:val="24"/>
          <w:szCs w:val="24"/>
        </w:rPr>
        <w:t>A modo de cierre</w:t>
      </w:r>
    </w:p>
    <w:p w:rsidR="001A0471" w:rsidRPr="006C3F32" w:rsidRDefault="001A0471" w:rsidP="006C3F32">
      <w:pPr>
        <w:pStyle w:val="NormalWeb"/>
        <w:spacing w:before="0" w:beforeAutospacing="0" w:after="0" w:afterAutospacing="0" w:line="360" w:lineRule="auto"/>
        <w:jc w:val="both"/>
      </w:pPr>
      <w:bookmarkStart w:id="0" w:name="_GoBack"/>
      <w:bookmarkEnd w:id="0"/>
      <w:r w:rsidRPr="00813D41">
        <w:t>América Latina mantiene un proceso de indagación y análisis permanente sobre su pasado colonial, su condición de modernidad tardía, su lugar de tercer mundo, de tierra de</w:t>
      </w:r>
      <w:r>
        <w:t xml:space="preserve"> liberación, de patria grande. Ponderar las expresiones estéticas permite indagar en las formas de construcción, re-producción y re-significación de</w:t>
      </w:r>
      <w:r w:rsidRPr="002C5FAE">
        <w:t xml:space="preserve"> </w:t>
      </w:r>
      <w:r>
        <w:t>la Memoria, pero c</w:t>
      </w:r>
      <w:r w:rsidRPr="00813D41">
        <w:rPr>
          <w:spacing w:val="9"/>
        </w:rPr>
        <w:t>abría repensar entonces,</w:t>
      </w:r>
      <w:r w:rsidRPr="002C5FAE">
        <w:t xml:space="preserve"> </w:t>
      </w:r>
      <w:r>
        <w:t>qué tipo de Historia construimos. El Arte Correo demuestra una forma de experiencia que llega a nosotros por medio de la memoria con sus distintas formas de registro y que comienza a re-ensamblarse en una red de saberes historiográficos que nos posibilita</w:t>
      </w:r>
      <w:r w:rsidRPr="006C3F32">
        <w:t xml:space="preserve"> construir los diferentes futuros locales en un mundo global.</w:t>
      </w:r>
    </w:p>
    <w:p w:rsidR="001A0471" w:rsidRDefault="001A0471" w:rsidP="006C3F32">
      <w:pPr>
        <w:pStyle w:val="NormalWeb"/>
        <w:spacing w:before="0" w:beforeAutospacing="0" w:after="0" w:afterAutospacing="0"/>
        <w:jc w:val="both"/>
        <w:rPr>
          <w:color w:val="000000"/>
          <w:sz w:val="22"/>
          <w:szCs w:val="22"/>
        </w:rPr>
      </w:pPr>
    </w:p>
    <w:p w:rsidR="001A0471" w:rsidRDefault="001A0471" w:rsidP="006C3F32">
      <w:pPr>
        <w:pStyle w:val="NormalWeb"/>
        <w:spacing w:before="0" w:beforeAutospacing="0" w:after="0" w:afterAutospacing="0"/>
        <w:jc w:val="both"/>
        <w:rPr>
          <w:color w:val="000000"/>
          <w:sz w:val="22"/>
          <w:szCs w:val="22"/>
        </w:rPr>
      </w:pPr>
    </w:p>
    <w:p w:rsidR="001A0471" w:rsidRDefault="001A0471" w:rsidP="002D653B">
      <w:pPr>
        <w:spacing w:line="240" w:lineRule="auto"/>
        <w:jc w:val="both"/>
        <w:rPr>
          <w:rFonts w:ascii="Times New Roman" w:hAnsi="Times New Roman"/>
          <w:b/>
          <w:sz w:val="24"/>
          <w:szCs w:val="24"/>
        </w:rPr>
      </w:pPr>
      <w:r w:rsidRPr="00273071">
        <w:rPr>
          <w:rFonts w:ascii="Times New Roman" w:hAnsi="Times New Roman"/>
          <w:b/>
          <w:sz w:val="24"/>
          <w:szCs w:val="24"/>
        </w:rPr>
        <w:t xml:space="preserve">Referencias </w:t>
      </w:r>
      <w:r w:rsidR="002D653B">
        <w:rPr>
          <w:rFonts w:ascii="Times New Roman" w:hAnsi="Times New Roman"/>
          <w:b/>
          <w:sz w:val="24"/>
          <w:szCs w:val="24"/>
        </w:rPr>
        <w:t>b</w:t>
      </w:r>
      <w:r w:rsidRPr="00273071">
        <w:rPr>
          <w:rFonts w:ascii="Times New Roman" w:hAnsi="Times New Roman"/>
          <w:b/>
          <w:sz w:val="24"/>
          <w:szCs w:val="24"/>
        </w:rPr>
        <w:t>ibliográficas</w:t>
      </w:r>
    </w:p>
    <w:p w:rsidR="001A0471" w:rsidRPr="0087769C" w:rsidRDefault="001A0471" w:rsidP="002D653B">
      <w:pPr>
        <w:spacing w:after="0" w:line="240" w:lineRule="auto"/>
        <w:jc w:val="both"/>
        <w:rPr>
          <w:rFonts w:ascii="Times New Roman" w:hAnsi="Times New Roman"/>
          <w:b/>
          <w:sz w:val="24"/>
          <w:szCs w:val="24"/>
        </w:rPr>
      </w:pPr>
    </w:p>
    <w:p w:rsidR="001A0471" w:rsidRDefault="001A0471" w:rsidP="002D653B">
      <w:pPr>
        <w:spacing w:after="0" w:line="240" w:lineRule="auto"/>
        <w:ind w:left="709" w:hanging="709"/>
        <w:jc w:val="both"/>
        <w:rPr>
          <w:rFonts w:ascii="Times New Roman" w:hAnsi="Times New Roman"/>
          <w:sz w:val="24"/>
          <w:szCs w:val="24"/>
        </w:rPr>
      </w:pPr>
      <w:r w:rsidRPr="005A71FF">
        <w:rPr>
          <w:rFonts w:ascii="Times New Roman" w:hAnsi="Times New Roman"/>
          <w:sz w:val="24"/>
          <w:szCs w:val="24"/>
        </w:rPr>
        <w:t>Bourdieu, P</w:t>
      </w:r>
      <w:r w:rsidR="002D653B">
        <w:rPr>
          <w:rFonts w:ascii="Times New Roman" w:hAnsi="Times New Roman"/>
          <w:sz w:val="24"/>
          <w:szCs w:val="24"/>
        </w:rPr>
        <w:t>.</w:t>
      </w:r>
      <w:r w:rsidRPr="005A71FF">
        <w:rPr>
          <w:rFonts w:ascii="Times New Roman" w:hAnsi="Times New Roman"/>
          <w:sz w:val="24"/>
          <w:szCs w:val="24"/>
        </w:rPr>
        <w:t xml:space="preserve"> (2010) </w:t>
      </w:r>
      <w:r w:rsidRPr="005A71FF">
        <w:rPr>
          <w:rFonts w:ascii="Times New Roman" w:hAnsi="Times New Roman"/>
          <w:i/>
          <w:sz w:val="24"/>
          <w:szCs w:val="24"/>
        </w:rPr>
        <w:t>El Sentido Social del Gusto. Elementos para una sociología de la cultura</w:t>
      </w:r>
      <w:r w:rsidRPr="005A71FF">
        <w:rPr>
          <w:rFonts w:ascii="Times New Roman" w:hAnsi="Times New Roman"/>
          <w:sz w:val="24"/>
          <w:szCs w:val="24"/>
        </w:rPr>
        <w:t>. Buenos Aires</w:t>
      </w:r>
      <w:r w:rsidR="002D653B">
        <w:rPr>
          <w:rFonts w:ascii="Times New Roman" w:hAnsi="Times New Roman"/>
          <w:sz w:val="24"/>
          <w:szCs w:val="24"/>
        </w:rPr>
        <w:t>:</w:t>
      </w:r>
      <w:r w:rsidRPr="005A71FF">
        <w:rPr>
          <w:rFonts w:ascii="Times New Roman" w:hAnsi="Times New Roman"/>
          <w:sz w:val="24"/>
          <w:szCs w:val="24"/>
        </w:rPr>
        <w:t xml:space="preserve"> Siglo XXI.</w:t>
      </w:r>
    </w:p>
    <w:p w:rsidR="002D653B" w:rsidRPr="005A71FF" w:rsidRDefault="002D653B" w:rsidP="002D653B">
      <w:pPr>
        <w:spacing w:after="0" w:line="240" w:lineRule="auto"/>
        <w:ind w:left="709" w:hanging="709"/>
        <w:jc w:val="both"/>
        <w:rPr>
          <w:rFonts w:ascii="Times New Roman" w:hAnsi="Times New Roman"/>
          <w:sz w:val="24"/>
          <w:szCs w:val="24"/>
        </w:rPr>
      </w:pPr>
    </w:p>
    <w:p w:rsidR="001A0471" w:rsidRDefault="001A0471" w:rsidP="002D653B">
      <w:pPr>
        <w:spacing w:after="0" w:line="240" w:lineRule="auto"/>
        <w:ind w:left="708" w:hanging="708"/>
        <w:jc w:val="both"/>
        <w:rPr>
          <w:rFonts w:ascii="Times New Roman" w:hAnsi="Times New Roman"/>
          <w:lang w:eastAsia="es-AR"/>
        </w:rPr>
      </w:pPr>
      <w:r w:rsidRPr="005A71FF">
        <w:rPr>
          <w:rFonts w:ascii="Times New Roman" w:hAnsi="Times New Roman"/>
          <w:lang w:eastAsia="es-AR"/>
        </w:rPr>
        <w:t xml:space="preserve"> </w:t>
      </w:r>
      <w:r w:rsidRPr="005A71FF">
        <w:rPr>
          <w:rFonts w:ascii="Times New Roman" w:hAnsi="Times New Roman"/>
        </w:rPr>
        <w:t xml:space="preserve">De Rueda, A. M de. </w:t>
      </w:r>
      <w:r w:rsidRPr="005A71FF">
        <w:rPr>
          <w:rFonts w:ascii="Times New Roman" w:hAnsi="Times New Roman"/>
          <w:lang w:eastAsia="es-AR"/>
        </w:rPr>
        <w:t xml:space="preserve">(2014). “Precedentes del arte colaborativo (en red). A 30 años de la Asociación Latinoamericana y del Caribe de </w:t>
      </w:r>
      <w:proofErr w:type="spellStart"/>
      <w:r w:rsidRPr="005A71FF">
        <w:rPr>
          <w:rFonts w:ascii="Times New Roman" w:hAnsi="Times New Roman"/>
          <w:lang w:eastAsia="es-AR"/>
        </w:rPr>
        <w:t>Artecorreo</w:t>
      </w:r>
      <w:proofErr w:type="spellEnd"/>
      <w:r w:rsidRPr="005A71FF">
        <w:rPr>
          <w:rFonts w:ascii="Times New Roman" w:hAnsi="Times New Roman"/>
          <w:lang w:eastAsia="es-AR"/>
        </w:rPr>
        <w:t xml:space="preserve">. </w:t>
      </w:r>
      <w:r w:rsidRPr="002D653B">
        <w:rPr>
          <w:rFonts w:ascii="Times New Roman" w:hAnsi="Times New Roman"/>
          <w:i/>
          <w:lang w:eastAsia="es-AR"/>
        </w:rPr>
        <w:t xml:space="preserve">Revista </w:t>
      </w:r>
      <w:proofErr w:type="spellStart"/>
      <w:r w:rsidRPr="002D653B">
        <w:rPr>
          <w:rFonts w:ascii="Times New Roman" w:hAnsi="Times New Roman"/>
          <w:i/>
          <w:lang w:eastAsia="es-AR"/>
        </w:rPr>
        <w:t>Calameo</w:t>
      </w:r>
      <w:proofErr w:type="spellEnd"/>
      <w:r w:rsidRPr="005A71FF">
        <w:rPr>
          <w:rFonts w:ascii="Times New Roman" w:hAnsi="Times New Roman"/>
          <w:lang w:eastAsia="es-AR"/>
        </w:rPr>
        <w:t xml:space="preserve">. Disponible en: </w:t>
      </w:r>
      <w:hyperlink r:id="rId5" w:history="1">
        <w:r w:rsidR="002D653B" w:rsidRPr="003D4115">
          <w:rPr>
            <w:rStyle w:val="Hipervnculo"/>
            <w:rFonts w:ascii="Times New Roman" w:hAnsi="Times New Roman"/>
            <w:lang w:eastAsia="es-AR"/>
          </w:rPr>
          <w:t>https://es.calameo.com/books/000658104eb9787232800</w:t>
        </w:r>
      </w:hyperlink>
    </w:p>
    <w:p w:rsidR="002D653B" w:rsidRPr="005A71FF" w:rsidRDefault="002D653B" w:rsidP="002D653B">
      <w:pPr>
        <w:spacing w:after="0" w:line="240" w:lineRule="auto"/>
        <w:ind w:left="708" w:hanging="708"/>
        <w:jc w:val="both"/>
        <w:rPr>
          <w:rFonts w:ascii="Times New Roman" w:hAnsi="Times New Roman"/>
          <w:lang w:eastAsia="es-AR"/>
        </w:rPr>
      </w:pPr>
    </w:p>
    <w:p w:rsidR="001A0471" w:rsidRDefault="001A0471" w:rsidP="002D653B">
      <w:pPr>
        <w:spacing w:after="0" w:line="240" w:lineRule="auto"/>
        <w:ind w:left="708" w:hanging="708"/>
        <w:jc w:val="both"/>
        <w:outlineLvl w:val="0"/>
        <w:rPr>
          <w:rStyle w:val="Hipervnculo"/>
          <w:rFonts w:ascii="Times New Roman" w:hAnsi="Times New Roman"/>
          <w:color w:val="auto"/>
          <w:sz w:val="24"/>
          <w:szCs w:val="24"/>
          <w:u w:val="none"/>
        </w:rPr>
      </w:pPr>
      <w:proofErr w:type="spellStart"/>
      <w:r w:rsidRPr="005A71FF">
        <w:rPr>
          <w:rFonts w:ascii="Times New Roman" w:hAnsi="Times New Roman"/>
          <w:sz w:val="24"/>
          <w:szCs w:val="24"/>
        </w:rPr>
        <w:t>Didi</w:t>
      </w:r>
      <w:proofErr w:type="spellEnd"/>
      <w:r w:rsidRPr="005A71FF">
        <w:rPr>
          <w:rFonts w:ascii="Times New Roman" w:hAnsi="Times New Roman"/>
          <w:sz w:val="24"/>
          <w:szCs w:val="24"/>
        </w:rPr>
        <w:t xml:space="preserve"> – </w:t>
      </w:r>
      <w:proofErr w:type="spellStart"/>
      <w:r w:rsidRPr="005A71FF">
        <w:rPr>
          <w:rFonts w:ascii="Times New Roman" w:hAnsi="Times New Roman"/>
          <w:sz w:val="24"/>
          <w:szCs w:val="24"/>
        </w:rPr>
        <w:t>Huberman</w:t>
      </w:r>
      <w:proofErr w:type="spellEnd"/>
      <w:r w:rsidRPr="005A71FF">
        <w:rPr>
          <w:rFonts w:ascii="Times New Roman" w:hAnsi="Times New Roman"/>
          <w:sz w:val="24"/>
          <w:szCs w:val="24"/>
        </w:rPr>
        <w:t xml:space="preserve">, G. (2008). </w:t>
      </w:r>
      <w:r w:rsidRPr="005A71FF">
        <w:rPr>
          <w:rFonts w:ascii="Times New Roman" w:hAnsi="Times New Roman"/>
          <w:i/>
          <w:sz w:val="24"/>
          <w:szCs w:val="24"/>
        </w:rPr>
        <w:t xml:space="preserve">Cuando las imágenes tocan lo real. </w:t>
      </w:r>
      <w:r w:rsidRPr="005A71FF">
        <w:rPr>
          <w:rFonts w:ascii="Times New Roman" w:hAnsi="Times New Roman"/>
          <w:sz w:val="24"/>
          <w:szCs w:val="24"/>
        </w:rPr>
        <w:t xml:space="preserve">Recuperado de: </w:t>
      </w:r>
      <w:hyperlink r:id="rId6" w:history="1">
        <w:r w:rsidRPr="005A71FF">
          <w:rPr>
            <w:rStyle w:val="Hipervnculo"/>
            <w:rFonts w:ascii="Times New Roman" w:hAnsi="Times New Roman"/>
            <w:color w:val="auto"/>
            <w:sz w:val="24"/>
            <w:szCs w:val="24"/>
            <w:u w:val="none"/>
          </w:rPr>
          <w:t>https://www.macba.cat/uploads/20080408/Georges_Didi_Huberman_Cuando_las_imagenes_tocan_lo_real.pdf</w:t>
        </w:r>
      </w:hyperlink>
    </w:p>
    <w:p w:rsidR="002D653B" w:rsidRPr="005A71FF" w:rsidRDefault="002D653B" w:rsidP="002D653B">
      <w:pPr>
        <w:spacing w:after="0" w:line="240" w:lineRule="auto"/>
        <w:ind w:left="708" w:hanging="708"/>
        <w:jc w:val="both"/>
        <w:outlineLvl w:val="0"/>
        <w:rPr>
          <w:rFonts w:ascii="Times New Roman" w:hAnsi="Times New Roman"/>
          <w:sz w:val="24"/>
          <w:szCs w:val="24"/>
        </w:rPr>
      </w:pPr>
    </w:p>
    <w:p w:rsidR="001A0471" w:rsidRPr="0087769C" w:rsidRDefault="001A0471" w:rsidP="002D653B">
      <w:pPr>
        <w:spacing w:after="0" w:line="240" w:lineRule="auto"/>
        <w:jc w:val="both"/>
        <w:rPr>
          <w:rFonts w:ascii="Times New Roman" w:hAnsi="Times New Roman"/>
          <w:sz w:val="24"/>
          <w:szCs w:val="24"/>
          <w:lang w:val="es-ES" w:eastAsia="es-ES"/>
        </w:rPr>
      </w:pPr>
      <w:r w:rsidRPr="0087769C">
        <w:rPr>
          <w:rFonts w:ascii="Times New Roman" w:hAnsi="Times New Roman"/>
          <w:sz w:val="24"/>
          <w:szCs w:val="24"/>
          <w:lang w:val="en-US" w:eastAsia="es-ES"/>
        </w:rPr>
        <w:t>Fischer, H</w:t>
      </w:r>
      <w:r w:rsidR="002D653B">
        <w:rPr>
          <w:rFonts w:ascii="Times New Roman" w:hAnsi="Times New Roman"/>
          <w:sz w:val="24"/>
          <w:szCs w:val="24"/>
          <w:lang w:val="en-US" w:eastAsia="es-ES"/>
        </w:rPr>
        <w:t>.</w:t>
      </w:r>
      <w:r w:rsidRPr="0087769C">
        <w:rPr>
          <w:rFonts w:ascii="Times New Roman" w:hAnsi="Times New Roman"/>
          <w:sz w:val="24"/>
          <w:szCs w:val="24"/>
          <w:lang w:val="en-US" w:eastAsia="es-ES"/>
        </w:rPr>
        <w:t xml:space="preserve"> (1974): </w:t>
      </w:r>
      <w:r w:rsidRPr="0087769C">
        <w:rPr>
          <w:rFonts w:ascii="Times New Roman" w:hAnsi="Times New Roman"/>
          <w:i/>
          <w:iCs/>
          <w:sz w:val="24"/>
          <w:szCs w:val="24"/>
          <w:lang w:val="en-US" w:eastAsia="es-ES"/>
        </w:rPr>
        <w:t xml:space="preserve">Art </w:t>
      </w:r>
      <w:proofErr w:type="gramStart"/>
      <w:r w:rsidRPr="0087769C">
        <w:rPr>
          <w:rFonts w:ascii="Times New Roman" w:hAnsi="Times New Roman"/>
          <w:i/>
          <w:iCs/>
          <w:sz w:val="24"/>
          <w:szCs w:val="24"/>
          <w:lang w:val="en-US" w:eastAsia="es-ES"/>
        </w:rPr>
        <w:t>et</w:t>
      </w:r>
      <w:proofErr w:type="gramEnd"/>
      <w:r w:rsidRPr="0087769C">
        <w:rPr>
          <w:rFonts w:ascii="Times New Roman" w:hAnsi="Times New Roman"/>
          <w:i/>
          <w:iCs/>
          <w:sz w:val="24"/>
          <w:szCs w:val="24"/>
          <w:lang w:val="en-US" w:eastAsia="es-ES"/>
        </w:rPr>
        <w:t xml:space="preserve"> communication </w:t>
      </w:r>
      <w:proofErr w:type="spellStart"/>
      <w:r w:rsidRPr="0087769C">
        <w:rPr>
          <w:rFonts w:ascii="Times New Roman" w:hAnsi="Times New Roman"/>
          <w:i/>
          <w:iCs/>
          <w:sz w:val="24"/>
          <w:szCs w:val="24"/>
          <w:lang w:val="en-US" w:eastAsia="es-ES"/>
        </w:rPr>
        <w:t>marginale</w:t>
      </w:r>
      <w:proofErr w:type="spellEnd"/>
      <w:r w:rsidRPr="0087769C">
        <w:rPr>
          <w:rFonts w:ascii="Times New Roman" w:hAnsi="Times New Roman"/>
          <w:sz w:val="24"/>
          <w:szCs w:val="24"/>
          <w:lang w:val="en-US" w:eastAsia="es-ES"/>
        </w:rPr>
        <w:t xml:space="preserve">. </w:t>
      </w:r>
      <w:proofErr w:type="spellStart"/>
      <w:r w:rsidRPr="0087769C">
        <w:rPr>
          <w:rFonts w:ascii="Times New Roman" w:hAnsi="Times New Roman"/>
          <w:sz w:val="24"/>
          <w:szCs w:val="24"/>
          <w:lang w:val="es-ES" w:eastAsia="es-ES"/>
        </w:rPr>
        <w:t>Parìs</w:t>
      </w:r>
      <w:proofErr w:type="spellEnd"/>
      <w:r w:rsidRPr="0087769C">
        <w:rPr>
          <w:rFonts w:ascii="Times New Roman" w:hAnsi="Times New Roman"/>
          <w:sz w:val="24"/>
          <w:szCs w:val="24"/>
          <w:lang w:val="es-ES" w:eastAsia="es-ES"/>
        </w:rPr>
        <w:t>, Francia</w:t>
      </w:r>
      <w:r w:rsidR="002D653B">
        <w:rPr>
          <w:rFonts w:ascii="Times New Roman" w:hAnsi="Times New Roman"/>
          <w:sz w:val="24"/>
          <w:szCs w:val="24"/>
        </w:rPr>
        <w:t>:</w:t>
      </w:r>
      <w:r w:rsidRPr="0087769C">
        <w:rPr>
          <w:rFonts w:ascii="Times New Roman" w:hAnsi="Times New Roman"/>
          <w:sz w:val="24"/>
          <w:szCs w:val="24"/>
          <w:lang w:val="es-ES" w:eastAsia="es-ES"/>
        </w:rPr>
        <w:t xml:space="preserve"> Ed.  </w:t>
      </w:r>
      <w:proofErr w:type="spellStart"/>
      <w:r w:rsidRPr="0087769C">
        <w:rPr>
          <w:rFonts w:ascii="Times New Roman" w:hAnsi="Times New Roman"/>
          <w:sz w:val="24"/>
          <w:szCs w:val="24"/>
          <w:lang w:val="es-ES" w:eastAsia="es-ES"/>
        </w:rPr>
        <w:t>Balland</w:t>
      </w:r>
      <w:proofErr w:type="spellEnd"/>
      <w:r w:rsidR="002D653B">
        <w:rPr>
          <w:rFonts w:ascii="Times New Roman" w:hAnsi="Times New Roman"/>
          <w:sz w:val="24"/>
          <w:szCs w:val="24"/>
          <w:lang w:val="es-ES" w:eastAsia="es-ES"/>
        </w:rPr>
        <w:t>.</w:t>
      </w:r>
    </w:p>
    <w:p w:rsidR="001A0471" w:rsidRPr="005A71FF" w:rsidRDefault="001A0471" w:rsidP="002D653B">
      <w:pPr>
        <w:spacing w:after="0" w:line="240" w:lineRule="auto"/>
        <w:ind w:left="708" w:hanging="708"/>
        <w:jc w:val="both"/>
        <w:outlineLvl w:val="0"/>
        <w:rPr>
          <w:rFonts w:ascii="Times New Roman" w:hAnsi="Times New Roman"/>
          <w:sz w:val="24"/>
          <w:szCs w:val="24"/>
        </w:rPr>
      </w:pPr>
    </w:p>
    <w:p w:rsidR="001A0471" w:rsidRDefault="001A0471" w:rsidP="002D653B">
      <w:pPr>
        <w:tabs>
          <w:tab w:val="left" w:pos="1950"/>
        </w:tabs>
        <w:spacing w:after="0" w:line="240" w:lineRule="auto"/>
        <w:ind w:left="1950" w:hanging="1950"/>
        <w:jc w:val="both"/>
        <w:rPr>
          <w:rFonts w:ascii="Times New Roman" w:hAnsi="Times New Roman"/>
        </w:rPr>
      </w:pPr>
      <w:proofErr w:type="spellStart"/>
      <w:r w:rsidRPr="005A71FF">
        <w:rPr>
          <w:rFonts w:ascii="Times New Roman" w:hAnsi="Times New Roman"/>
        </w:rPr>
        <w:t>Gache</w:t>
      </w:r>
      <w:proofErr w:type="spellEnd"/>
      <w:r w:rsidRPr="005A71FF">
        <w:rPr>
          <w:rFonts w:ascii="Times New Roman" w:hAnsi="Times New Roman"/>
        </w:rPr>
        <w:t xml:space="preserve">, B. (2005). “Arte correo: el correo como medio táctico”. En DELGADO, Fernando G. y ROMERO, Juan C. (Eds.). </w:t>
      </w:r>
      <w:r w:rsidRPr="005A71FF">
        <w:rPr>
          <w:rFonts w:ascii="Times New Roman" w:hAnsi="Times New Roman"/>
          <w:i/>
        </w:rPr>
        <w:t>El arte correo en Argentina</w:t>
      </w:r>
      <w:r w:rsidRPr="005A71FF">
        <w:rPr>
          <w:rFonts w:ascii="Times New Roman" w:hAnsi="Times New Roman"/>
        </w:rPr>
        <w:t xml:space="preserve"> (pp. 15-47). Bu</w:t>
      </w:r>
      <w:r>
        <w:rPr>
          <w:rFonts w:ascii="Times New Roman" w:hAnsi="Times New Roman"/>
        </w:rPr>
        <w:t>enos Aires: Arte Correo Vórtice</w:t>
      </w:r>
      <w:r w:rsidR="002D653B">
        <w:rPr>
          <w:rFonts w:ascii="Times New Roman" w:hAnsi="Times New Roman"/>
        </w:rPr>
        <w:t>.</w:t>
      </w:r>
    </w:p>
    <w:p w:rsidR="002D653B" w:rsidRPr="005A71FF" w:rsidRDefault="002D653B" w:rsidP="002D653B">
      <w:pPr>
        <w:tabs>
          <w:tab w:val="left" w:pos="1950"/>
        </w:tabs>
        <w:spacing w:after="0" w:line="240" w:lineRule="auto"/>
        <w:ind w:left="1950" w:hanging="1950"/>
        <w:jc w:val="both"/>
        <w:rPr>
          <w:rFonts w:ascii="Times New Roman" w:hAnsi="Times New Roman"/>
        </w:rPr>
      </w:pPr>
    </w:p>
    <w:p w:rsidR="001A0471" w:rsidRDefault="001A0471" w:rsidP="002D653B">
      <w:pPr>
        <w:spacing w:after="0" w:line="240" w:lineRule="auto"/>
        <w:ind w:left="708" w:hanging="708"/>
        <w:jc w:val="both"/>
        <w:outlineLvl w:val="0"/>
        <w:rPr>
          <w:rFonts w:ascii="Times New Roman" w:hAnsi="Times New Roman"/>
          <w:sz w:val="24"/>
          <w:szCs w:val="24"/>
        </w:rPr>
      </w:pPr>
      <w:proofErr w:type="spellStart"/>
      <w:r w:rsidRPr="005A71FF">
        <w:rPr>
          <w:rFonts w:ascii="Times New Roman" w:hAnsi="Times New Roman"/>
          <w:sz w:val="24"/>
          <w:szCs w:val="24"/>
        </w:rPr>
        <w:t>Gruzinski</w:t>
      </w:r>
      <w:proofErr w:type="spellEnd"/>
      <w:r w:rsidRPr="005A71FF">
        <w:rPr>
          <w:rFonts w:ascii="Times New Roman" w:hAnsi="Times New Roman"/>
          <w:sz w:val="24"/>
          <w:szCs w:val="24"/>
        </w:rPr>
        <w:t>, S</w:t>
      </w:r>
      <w:r w:rsidR="002D653B">
        <w:rPr>
          <w:rFonts w:ascii="Times New Roman" w:hAnsi="Times New Roman"/>
          <w:sz w:val="24"/>
          <w:szCs w:val="24"/>
        </w:rPr>
        <w:t>.</w:t>
      </w:r>
      <w:r w:rsidRPr="005A71FF">
        <w:rPr>
          <w:rFonts w:ascii="Times New Roman" w:hAnsi="Times New Roman"/>
          <w:sz w:val="24"/>
          <w:szCs w:val="24"/>
        </w:rPr>
        <w:t xml:space="preserve"> (2018). ¿</w:t>
      </w:r>
      <w:r w:rsidRPr="005A71FF">
        <w:rPr>
          <w:rFonts w:ascii="Times New Roman" w:hAnsi="Times New Roman"/>
          <w:i/>
          <w:sz w:val="24"/>
          <w:szCs w:val="24"/>
        </w:rPr>
        <w:t>Para qué sirve la Historia?</w:t>
      </w:r>
      <w:r w:rsidRPr="005A71FF">
        <w:rPr>
          <w:rFonts w:ascii="Times New Roman" w:hAnsi="Times New Roman"/>
          <w:sz w:val="24"/>
          <w:szCs w:val="24"/>
        </w:rPr>
        <w:t xml:space="preserve"> Madrid</w:t>
      </w:r>
      <w:r w:rsidR="002D653B">
        <w:rPr>
          <w:rFonts w:ascii="Times New Roman" w:hAnsi="Times New Roman"/>
          <w:sz w:val="24"/>
          <w:szCs w:val="24"/>
        </w:rPr>
        <w:t>:</w:t>
      </w:r>
      <w:r w:rsidRPr="005A71FF">
        <w:rPr>
          <w:rFonts w:ascii="Times New Roman" w:hAnsi="Times New Roman"/>
          <w:sz w:val="24"/>
          <w:szCs w:val="24"/>
        </w:rPr>
        <w:t xml:space="preserve"> Alianza Editorial.</w:t>
      </w:r>
    </w:p>
    <w:p w:rsidR="002D653B" w:rsidRPr="005A71FF" w:rsidRDefault="002D653B" w:rsidP="002D653B">
      <w:pPr>
        <w:spacing w:after="0" w:line="240" w:lineRule="auto"/>
        <w:ind w:left="708" w:hanging="708"/>
        <w:jc w:val="both"/>
        <w:outlineLvl w:val="0"/>
        <w:rPr>
          <w:rFonts w:ascii="Times New Roman" w:hAnsi="Times New Roman"/>
          <w:sz w:val="24"/>
          <w:szCs w:val="24"/>
        </w:rPr>
      </w:pPr>
    </w:p>
    <w:p w:rsidR="001A0471" w:rsidRDefault="001A0471" w:rsidP="002D653B">
      <w:pPr>
        <w:spacing w:after="0" w:line="240" w:lineRule="auto"/>
        <w:ind w:left="708" w:hanging="708"/>
        <w:jc w:val="both"/>
        <w:outlineLvl w:val="0"/>
        <w:rPr>
          <w:rStyle w:val="Hipervnculo"/>
          <w:rFonts w:ascii="Times New Roman" w:hAnsi="Times New Roman"/>
          <w:color w:val="auto"/>
          <w:sz w:val="24"/>
          <w:szCs w:val="24"/>
          <w:u w:val="none"/>
        </w:rPr>
      </w:pPr>
      <w:proofErr w:type="spellStart"/>
      <w:r w:rsidRPr="005A71FF">
        <w:rPr>
          <w:rFonts w:ascii="Times New Roman" w:hAnsi="Times New Roman"/>
          <w:sz w:val="24"/>
          <w:szCs w:val="24"/>
        </w:rPr>
        <w:t>Jelin</w:t>
      </w:r>
      <w:proofErr w:type="spellEnd"/>
      <w:r w:rsidRPr="005A71FF">
        <w:rPr>
          <w:rFonts w:ascii="Times New Roman" w:hAnsi="Times New Roman"/>
          <w:sz w:val="24"/>
          <w:szCs w:val="24"/>
        </w:rPr>
        <w:t xml:space="preserve">, E. (2002). </w:t>
      </w:r>
      <w:r w:rsidRPr="005A71FF">
        <w:rPr>
          <w:rFonts w:ascii="Times New Roman" w:hAnsi="Times New Roman"/>
          <w:i/>
          <w:sz w:val="24"/>
          <w:szCs w:val="24"/>
        </w:rPr>
        <w:t>Los trabajos de la memoria</w:t>
      </w:r>
      <w:r w:rsidRPr="005A71FF">
        <w:rPr>
          <w:rFonts w:ascii="Times New Roman" w:hAnsi="Times New Roman"/>
          <w:sz w:val="24"/>
          <w:szCs w:val="24"/>
        </w:rPr>
        <w:t xml:space="preserve">. Recuperado de: </w:t>
      </w:r>
      <w:hyperlink r:id="rId7" w:history="1">
        <w:r w:rsidRPr="005A71FF">
          <w:rPr>
            <w:rStyle w:val="Hipervnculo"/>
            <w:rFonts w:ascii="Times New Roman" w:hAnsi="Times New Roman"/>
            <w:color w:val="auto"/>
            <w:sz w:val="24"/>
            <w:szCs w:val="24"/>
            <w:u w:val="none"/>
          </w:rPr>
          <w:t>http://www.centroprodh.org.mx/impunidadayeryhoy/DiplomadoJT2015/Mod2/Los%20trabajos%20de%20la%20memoria%20Elizabeth%20Jelin.pdf</w:t>
        </w:r>
      </w:hyperlink>
    </w:p>
    <w:p w:rsidR="002D653B" w:rsidRPr="005A71FF" w:rsidRDefault="002D653B" w:rsidP="002D653B">
      <w:pPr>
        <w:spacing w:after="0" w:line="240" w:lineRule="auto"/>
        <w:ind w:left="708" w:hanging="708"/>
        <w:jc w:val="both"/>
        <w:outlineLvl w:val="0"/>
        <w:rPr>
          <w:rFonts w:ascii="Times New Roman" w:hAnsi="Times New Roman"/>
          <w:sz w:val="24"/>
          <w:szCs w:val="24"/>
        </w:rPr>
      </w:pPr>
    </w:p>
    <w:p w:rsidR="001A0471" w:rsidRDefault="001A0471" w:rsidP="002D653B">
      <w:pPr>
        <w:spacing w:after="0" w:line="240" w:lineRule="auto"/>
        <w:ind w:left="708" w:hanging="708"/>
        <w:jc w:val="both"/>
        <w:outlineLvl w:val="0"/>
        <w:rPr>
          <w:rFonts w:ascii="Times New Roman" w:hAnsi="Times New Roman"/>
          <w:sz w:val="24"/>
          <w:szCs w:val="24"/>
        </w:rPr>
      </w:pPr>
      <w:proofErr w:type="spellStart"/>
      <w:r w:rsidRPr="005A71FF">
        <w:rPr>
          <w:rFonts w:ascii="Times New Roman" w:hAnsi="Times New Roman"/>
          <w:sz w:val="24"/>
          <w:szCs w:val="24"/>
        </w:rPr>
        <w:t>Latour</w:t>
      </w:r>
      <w:proofErr w:type="spellEnd"/>
      <w:r w:rsidRPr="005A71FF">
        <w:rPr>
          <w:rFonts w:ascii="Times New Roman" w:hAnsi="Times New Roman"/>
          <w:sz w:val="24"/>
          <w:szCs w:val="24"/>
        </w:rPr>
        <w:t>, B</w:t>
      </w:r>
      <w:r w:rsidR="002D653B">
        <w:rPr>
          <w:rFonts w:ascii="Times New Roman" w:hAnsi="Times New Roman"/>
          <w:sz w:val="24"/>
          <w:szCs w:val="24"/>
        </w:rPr>
        <w:t>.</w:t>
      </w:r>
      <w:r w:rsidRPr="005A71FF">
        <w:rPr>
          <w:rFonts w:ascii="Times New Roman" w:hAnsi="Times New Roman"/>
          <w:sz w:val="24"/>
          <w:szCs w:val="24"/>
        </w:rPr>
        <w:t xml:space="preserve"> (2013). </w:t>
      </w:r>
      <w:r w:rsidRPr="005A71FF">
        <w:rPr>
          <w:rFonts w:ascii="Times New Roman" w:hAnsi="Times New Roman"/>
          <w:i/>
          <w:sz w:val="24"/>
          <w:szCs w:val="24"/>
        </w:rPr>
        <w:t>Investigación sobre los modos de existencia. Una Antropología de los modernos</w:t>
      </w:r>
      <w:r w:rsidRPr="005A71FF">
        <w:rPr>
          <w:rFonts w:ascii="Times New Roman" w:hAnsi="Times New Roman"/>
          <w:sz w:val="24"/>
          <w:szCs w:val="24"/>
        </w:rPr>
        <w:t>. Buenos Aires</w:t>
      </w:r>
      <w:r w:rsidR="002D653B">
        <w:rPr>
          <w:rFonts w:ascii="Times New Roman" w:hAnsi="Times New Roman"/>
          <w:sz w:val="24"/>
          <w:szCs w:val="24"/>
        </w:rPr>
        <w:t>:</w:t>
      </w:r>
      <w:r w:rsidRPr="005A71FF">
        <w:rPr>
          <w:rFonts w:ascii="Times New Roman" w:hAnsi="Times New Roman"/>
          <w:sz w:val="24"/>
          <w:szCs w:val="24"/>
        </w:rPr>
        <w:t xml:space="preserve"> Paidós.</w:t>
      </w:r>
    </w:p>
    <w:p w:rsidR="002D653B" w:rsidRPr="005A71FF" w:rsidRDefault="002D653B" w:rsidP="002D653B">
      <w:pPr>
        <w:spacing w:after="0" w:line="240" w:lineRule="auto"/>
        <w:ind w:left="708" w:hanging="708"/>
        <w:jc w:val="both"/>
        <w:outlineLvl w:val="0"/>
        <w:rPr>
          <w:rFonts w:ascii="Times New Roman" w:hAnsi="Times New Roman"/>
          <w:sz w:val="24"/>
          <w:szCs w:val="24"/>
        </w:rPr>
      </w:pPr>
    </w:p>
    <w:p w:rsidR="001A0471" w:rsidRDefault="001A0471" w:rsidP="002D653B">
      <w:pPr>
        <w:spacing w:after="0" w:line="240" w:lineRule="auto"/>
        <w:ind w:left="708" w:hanging="708"/>
        <w:jc w:val="both"/>
        <w:outlineLvl w:val="0"/>
        <w:rPr>
          <w:rFonts w:ascii="Times New Roman" w:hAnsi="Times New Roman"/>
          <w:sz w:val="24"/>
          <w:szCs w:val="24"/>
        </w:rPr>
      </w:pPr>
      <w:proofErr w:type="spellStart"/>
      <w:r w:rsidRPr="005A71FF">
        <w:rPr>
          <w:rFonts w:ascii="Times New Roman" w:hAnsi="Times New Roman"/>
          <w:sz w:val="24"/>
          <w:szCs w:val="24"/>
        </w:rPr>
        <w:t>Lévi</w:t>
      </w:r>
      <w:proofErr w:type="spellEnd"/>
      <w:r w:rsidRPr="005A71FF">
        <w:rPr>
          <w:rFonts w:ascii="Times New Roman" w:hAnsi="Times New Roman"/>
          <w:sz w:val="24"/>
          <w:szCs w:val="24"/>
        </w:rPr>
        <w:t>-Strauss, C</w:t>
      </w:r>
      <w:r w:rsidR="002D653B">
        <w:rPr>
          <w:rFonts w:ascii="Times New Roman" w:hAnsi="Times New Roman"/>
          <w:sz w:val="24"/>
          <w:szCs w:val="24"/>
        </w:rPr>
        <w:t>.</w:t>
      </w:r>
      <w:r w:rsidRPr="005A71FF">
        <w:rPr>
          <w:rFonts w:ascii="Times New Roman" w:hAnsi="Times New Roman"/>
          <w:sz w:val="24"/>
          <w:szCs w:val="24"/>
        </w:rPr>
        <w:t xml:space="preserve"> (2014). “El Suplicio de Papá Noel” en </w:t>
      </w:r>
      <w:r w:rsidRPr="005A71FF">
        <w:rPr>
          <w:rFonts w:ascii="Times New Roman" w:hAnsi="Times New Roman"/>
          <w:i/>
          <w:sz w:val="24"/>
          <w:szCs w:val="24"/>
        </w:rPr>
        <w:t>Todos somos caníbales</w:t>
      </w:r>
      <w:r w:rsidRPr="005A71FF">
        <w:rPr>
          <w:rFonts w:ascii="Times New Roman" w:hAnsi="Times New Roman"/>
          <w:sz w:val="24"/>
          <w:szCs w:val="24"/>
        </w:rPr>
        <w:t>. Buenos Aires</w:t>
      </w:r>
      <w:r w:rsidR="002D653B">
        <w:rPr>
          <w:rFonts w:ascii="Times New Roman" w:hAnsi="Times New Roman"/>
          <w:sz w:val="24"/>
          <w:szCs w:val="24"/>
        </w:rPr>
        <w:t>:</w:t>
      </w:r>
      <w:r w:rsidRPr="005A71FF">
        <w:rPr>
          <w:rFonts w:ascii="Times New Roman" w:hAnsi="Times New Roman"/>
          <w:sz w:val="24"/>
          <w:szCs w:val="24"/>
        </w:rPr>
        <w:t xml:space="preserve"> Libros del Zorzal; págs. 13-38.</w:t>
      </w:r>
    </w:p>
    <w:p w:rsidR="002D653B" w:rsidRPr="005A71FF" w:rsidRDefault="002D653B" w:rsidP="002D653B">
      <w:pPr>
        <w:spacing w:after="0" w:line="240" w:lineRule="auto"/>
        <w:ind w:left="708" w:hanging="708"/>
        <w:jc w:val="both"/>
        <w:outlineLvl w:val="0"/>
        <w:rPr>
          <w:rFonts w:ascii="Times New Roman" w:hAnsi="Times New Roman"/>
          <w:sz w:val="24"/>
          <w:szCs w:val="24"/>
        </w:rPr>
      </w:pPr>
    </w:p>
    <w:p w:rsidR="001A0471" w:rsidRDefault="001A0471" w:rsidP="002D653B">
      <w:pPr>
        <w:tabs>
          <w:tab w:val="left" w:pos="1950"/>
        </w:tabs>
        <w:spacing w:after="0" w:line="240" w:lineRule="auto"/>
        <w:ind w:left="1950" w:hanging="1950"/>
        <w:jc w:val="both"/>
        <w:rPr>
          <w:rFonts w:ascii="Times New Roman" w:hAnsi="Times New Roman"/>
        </w:rPr>
      </w:pPr>
      <w:r w:rsidRPr="005A71FF">
        <w:rPr>
          <w:rFonts w:ascii="Times New Roman" w:hAnsi="Times New Roman"/>
        </w:rPr>
        <w:t xml:space="preserve">Mata, M. (1999). “De la cultura masiva a la cultura mediática”, en </w:t>
      </w:r>
      <w:r w:rsidRPr="002D653B">
        <w:rPr>
          <w:rFonts w:ascii="Times New Roman" w:hAnsi="Times New Roman"/>
          <w:i/>
        </w:rPr>
        <w:t>Revista Diálogos de la Comunicación</w:t>
      </w:r>
      <w:r>
        <w:rPr>
          <w:rFonts w:ascii="Times New Roman" w:hAnsi="Times New Roman"/>
        </w:rPr>
        <w:t>, N° 56 FELAFACS, Lima, Perú.</w:t>
      </w:r>
    </w:p>
    <w:p w:rsidR="002D653B" w:rsidRPr="005A71FF" w:rsidRDefault="002D653B" w:rsidP="002D653B">
      <w:pPr>
        <w:tabs>
          <w:tab w:val="left" w:pos="1950"/>
        </w:tabs>
        <w:spacing w:after="0" w:line="240" w:lineRule="auto"/>
        <w:ind w:left="1950" w:hanging="1950"/>
        <w:jc w:val="both"/>
        <w:rPr>
          <w:rFonts w:ascii="Times New Roman" w:hAnsi="Times New Roman"/>
        </w:rPr>
      </w:pPr>
    </w:p>
    <w:p w:rsidR="001A0471" w:rsidRDefault="001A0471" w:rsidP="002D653B">
      <w:pPr>
        <w:spacing w:after="0" w:line="240" w:lineRule="auto"/>
        <w:ind w:left="708" w:hanging="708"/>
        <w:jc w:val="both"/>
        <w:outlineLvl w:val="0"/>
        <w:rPr>
          <w:rFonts w:ascii="Times New Roman" w:hAnsi="Times New Roman"/>
          <w:sz w:val="24"/>
          <w:szCs w:val="24"/>
        </w:rPr>
      </w:pPr>
      <w:proofErr w:type="spellStart"/>
      <w:r w:rsidRPr="005A71FF">
        <w:rPr>
          <w:rFonts w:ascii="Times New Roman" w:hAnsi="Times New Roman"/>
          <w:sz w:val="24"/>
          <w:szCs w:val="24"/>
        </w:rPr>
        <w:t>Rancière</w:t>
      </w:r>
      <w:proofErr w:type="spellEnd"/>
      <w:r w:rsidRPr="005A71FF">
        <w:rPr>
          <w:rFonts w:ascii="Times New Roman" w:hAnsi="Times New Roman"/>
          <w:sz w:val="24"/>
          <w:szCs w:val="24"/>
        </w:rPr>
        <w:t>, J</w:t>
      </w:r>
      <w:r w:rsidR="002D653B">
        <w:rPr>
          <w:rFonts w:ascii="Times New Roman" w:hAnsi="Times New Roman"/>
          <w:sz w:val="24"/>
          <w:szCs w:val="24"/>
        </w:rPr>
        <w:t>.</w:t>
      </w:r>
      <w:r w:rsidRPr="005A71FF">
        <w:rPr>
          <w:rFonts w:ascii="Times New Roman" w:hAnsi="Times New Roman"/>
          <w:sz w:val="24"/>
          <w:szCs w:val="24"/>
        </w:rPr>
        <w:t xml:space="preserve"> (2012). </w:t>
      </w:r>
      <w:r w:rsidRPr="005A71FF">
        <w:rPr>
          <w:rFonts w:ascii="Times New Roman" w:hAnsi="Times New Roman"/>
          <w:i/>
          <w:sz w:val="24"/>
          <w:szCs w:val="24"/>
        </w:rPr>
        <w:t>O Inconsciente estético</w:t>
      </w:r>
      <w:r w:rsidRPr="005A71FF">
        <w:rPr>
          <w:rFonts w:ascii="Times New Roman" w:hAnsi="Times New Roman"/>
          <w:sz w:val="24"/>
          <w:szCs w:val="24"/>
        </w:rPr>
        <w:t>. São Paulo</w:t>
      </w:r>
      <w:r w:rsidR="002D653B">
        <w:rPr>
          <w:rFonts w:ascii="Times New Roman" w:hAnsi="Times New Roman"/>
          <w:sz w:val="24"/>
          <w:szCs w:val="24"/>
        </w:rPr>
        <w:t>:</w:t>
      </w:r>
      <w:r w:rsidRPr="005A71FF">
        <w:rPr>
          <w:rFonts w:ascii="Times New Roman" w:hAnsi="Times New Roman"/>
          <w:sz w:val="24"/>
          <w:szCs w:val="24"/>
        </w:rPr>
        <w:t xml:space="preserve"> Editora 34.</w:t>
      </w:r>
    </w:p>
    <w:p w:rsidR="002D653B" w:rsidRPr="005A71FF" w:rsidRDefault="002D653B" w:rsidP="002D653B">
      <w:pPr>
        <w:spacing w:after="0" w:line="240" w:lineRule="auto"/>
        <w:ind w:left="708" w:hanging="708"/>
        <w:jc w:val="both"/>
        <w:outlineLvl w:val="0"/>
        <w:rPr>
          <w:rFonts w:ascii="Times New Roman" w:hAnsi="Times New Roman"/>
          <w:sz w:val="24"/>
          <w:szCs w:val="24"/>
        </w:rPr>
      </w:pPr>
    </w:p>
    <w:p w:rsidR="001A0471" w:rsidRDefault="001A0471" w:rsidP="002D653B">
      <w:pPr>
        <w:spacing w:after="0" w:line="240" w:lineRule="auto"/>
        <w:ind w:left="708" w:hanging="708"/>
        <w:jc w:val="both"/>
        <w:rPr>
          <w:rFonts w:ascii="Times New Roman" w:hAnsi="Times New Roman"/>
          <w:sz w:val="24"/>
          <w:szCs w:val="24"/>
        </w:rPr>
      </w:pPr>
      <w:proofErr w:type="spellStart"/>
      <w:r w:rsidRPr="005A71FF">
        <w:rPr>
          <w:rFonts w:ascii="Times New Roman" w:hAnsi="Times New Roman"/>
          <w:sz w:val="24"/>
          <w:szCs w:val="24"/>
        </w:rPr>
        <w:t>Ricoeur</w:t>
      </w:r>
      <w:proofErr w:type="spellEnd"/>
      <w:r w:rsidRPr="005A71FF">
        <w:rPr>
          <w:rFonts w:ascii="Times New Roman" w:hAnsi="Times New Roman"/>
          <w:sz w:val="24"/>
          <w:szCs w:val="24"/>
        </w:rPr>
        <w:t xml:space="preserve">, P. (2009). </w:t>
      </w:r>
      <w:r w:rsidRPr="005A71FF">
        <w:rPr>
          <w:rFonts w:ascii="Times New Roman" w:hAnsi="Times New Roman"/>
          <w:i/>
          <w:sz w:val="24"/>
          <w:szCs w:val="24"/>
        </w:rPr>
        <w:t>Tiempo y Narración. El tiempo narrado III.</w:t>
      </w:r>
      <w:r w:rsidRPr="005A71FF">
        <w:rPr>
          <w:rFonts w:ascii="Times New Roman" w:hAnsi="Times New Roman"/>
          <w:sz w:val="24"/>
          <w:szCs w:val="24"/>
        </w:rPr>
        <w:t xml:space="preserve"> Buenos Aires</w:t>
      </w:r>
      <w:r w:rsidR="002D653B">
        <w:rPr>
          <w:rFonts w:ascii="Times New Roman" w:hAnsi="Times New Roman"/>
          <w:sz w:val="24"/>
          <w:szCs w:val="24"/>
        </w:rPr>
        <w:t>:</w:t>
      </w:r>
      <w:r w:rsidRPr="005A71FF">
        <w:rPr>
          <w:rFonts w:ascii="Times New Roman" w:hAnsi="Times New Roman"/>
          <w:sz w:val="24"/>
          <w:szCs w:val="24"/>
        </w:rPr>
        <w:t xml:space="preserve"> Argentina. Ed. S. XXI.</w:t>
      </w:r>
    </w:p>
    <w:p w:rsidR="002D653B" w:rsidRPr="005A71FF" w:rsidRDefault="002D653B" w:rsidP="002D653B">
      <w:pPr>
        <w:spacing w:after="0" w:line="240" w:lineRule="auto"/>
        <w:ind w:left="708" w:hanging="708"/>
        <w:jc w:val="both"/>
        <w:rPr>
          <w:rFonts w:ascii="Times New Roman" w:hAnsi="Times New Roman"/>
          <w:sz w:val="24"/>
          <w:szCs w:val="24"/>
          <w:highlight w:val="white"/>
        </w:rPr>
      </w:pPr>
    </w:p>
    <w:p w:rsidR="001A0471" w:rsidRDefault="001A0471" w:rsidP="002D653B">
      <w:pPr>
        <w:spacing w:after="0" w:line="240" w:lineRule="auto"/>
        <w:ind w:left="708" w:hanging="708"/>
        <w:jc w:val="both"/>
        <w:rPr>
          <w:rFonts w:ascii="Times New Roman" w:hAnsi="Times New Roman"/>
          <w:sz w:val="24"/>
          <w:szCs w:val="24"/>
        </w:rPr>
      </w:pPr>
      <w:r w:rsidRPr="005A71FF">
        <w:rPr>
          <w:rFonts w:ascii="Times New Roman" w:hAnsi="Times New Roman"/>
          <w:sz w:val="24"/>
          <w:szCs w:val="24"/>
        </w:rPr>
        <w:t xml:space="preserve">Valcárcel Martínez, S. (1989). </w:t>
      </w:r>
      <w:r w:rsidRPr="005A71FF">
        <w:rPr>
          <w:rFonts w:ascii="Times New Roman" w:hAnsi="Times New Roman"/>
          <w:i/>
          <w:sz w:val="24"/>
          <w:szCs w:val="24"/>
        </w:rPr>
        <w:t>El padre José de Acosta.</w:t>
      </w:r>
      <w:r w:rsidRPr="005A71FF">
        <w:rPr>
          <w:rFonts w:ascii="Times New Roman" w:hAnsi="Times New Roman"/>
          <w:sz w:val="24"/>
          <w:szCs w:val="24"/>
        </w:rPr>
        <w:t xml:space="preserve"> Recuperado de: </w:t>
      </w:r>
      <w:hyperlink r:id="rId8" w:history="1">
        <w:r w:rsidR="002D653B" w:rsidRPr="003D4115">
          <w:rPr>
            <w:rStyle w:val="Hipervnculo"/>
            <w:rFonts w:ascii="Times New Roman" w:hAnsi="Times New Roman"/>
            <w:sz w:val="24"/>
            <w:szCs w:val="24"/>
          </w:rPr>
          <w:t>https://cvc.cervantes.es/lengua/thesaurus/pdf/44/TH_44_002_113_0.pdf</w:t>
        </w:r>
      </w:hyperlink>
    </w:p>
    <w:p w:rsidR="002D653B" w:rsidRPr="005A71FF" w:rsidRDefault="002D653B" w:rsidP="002D653B">
      <w:pPr>
        <w:spacing w:after="0" w:line="240" w:lineRule="auto"/>
        <w:ind w:left="708" w:hanging="708"/>
        <w:jc w:val="both"/>
        <w:rPr>
          <w:rFonts w:ascii="Times New Roman" w:hAnsi="Times New Roman"/>
          <w:sz w:val="24"/>
          <w:szCs w:val="24"/>
        </w:rPr>
      </w:pPr>
    </w:p>
    <w:p w:rsidR="001A0471" w:rsidRDefault="001A0471" w:rsidP="002D653B">
      <w:pPr>
        <w:spacing w:after="0" w:line="240" w:lineRule="auto"/>
        <w:ind w:left="709" w:hanging="709"/>
        <w:jc w:val="both"/>
        <w:rPr>
          <w:rFonts w:ascii="Times New Roman" w:hAnsi="Times New Roman"/>
          <w:sz w:val="24"/>
          <w:szCs w:val="24"/>
          <w:lang w:val="es-ES" w:eastAsia="es-ES"/>
        </w:rPr>
      </w:pPr>
      <w:r w:rsidRPr="0087769C">
        <w:rPr>
          <w:rFonts w:ascii="Times New Roman" w:hAnsi="Times New Roman"/>
          <w:sz w:val="24"/>
          <w:szCs w:val="24"/>
          <w:lang w:val="es-ES" w:eastAsia="es-ES"/>
        </w:rPr>
        <w:t>Vigo, E</w:t>
      </w:r>
      <w:r w:rsidR="002D653B">
        <w:rPr>
          <w:rFonts w:ascii="Times New Roman" w:hAnsi="Times New Roman"/>
          <w:sz w:val="24"/>
          <w:szCs w:val="24"/>
          <w:lang w:val="es-ES" w:eastAsia="es-ES"/>
        </w:rPr>
        <w:t>.</w:t>
      </w:r>
      <w:r w:rsidRPr="0087769C">
        <w:rPr>
          <w:rFonts w:ascii="Times New Roman" w:hAnsi="Times New Roman"/>
          <w:sz w:val="24"/>
          <w:szCs w:val="24"/>
          <w:lang w:val="es-ES" w:eastAsia="es-ES"/>
        </w:rPr>
        <w:t xml:space="preserve"> A</w:t>
      </w:r>
      <w:r w:rsidR="002D653B">
        <w:rPr>
          <w:rFonts w:ascii="Times New Roman" w:hAnsi="Times New Roman"/>
          <w:sz w:val="24"/>
          <w:szCs w:val="24"/>
          <w:lang w:val="es-ES" w:eastAsia="es-ES"/>
        </w:rPr>
        <w:t xml:space="preserve">. y </w:t>
      </w:r>
      <w:r w:rsidRPr="0087769C">
        <w:rPr>
          <w:rFonts w:ascii="Times New Roman" w:hAnsi="Times New Roman"/>
          <w:sz w:val="24"/>
          <w:szCs w:val="24"/>
          <w:lang w:val="es-ES" w:eastAsia="es-ES"/>
        </w:rPr>
        <w:t>Zabala, H</w:t>
      </w:r>
      <w:r w:rsidR="002D653B">
        <w:rPr>
          <w:rFonts w:ascii="Times New Roman" w:hAnsi="Times New Roman"/>
          <w:sz w:val="24"/>
          <w:szCs w:val="24"/>
          <w:lang w:val="es-ES" w:eastAsia="es-ES"/>
        </w:rPr>
        <w:t>.</w:t>
      </w:r>
      <w:r w:rsidRPr="0087769C">
        <w:rPr>
          <w:rFonts w:ascii="Times New Roman" w:hAnsi="Times New Roman"/>
          <w:sz w:val="24"/>
          <w:szCs w:val="24"/>
          <w:lang w:val="es-ES" w:eastAsia="es-ES"/>
        </w:rPr>
        <w:t xml:space="preserve"> (1976): “Arte Correo. Una nueva forma de expresión”. </w:t>
      </w:r>
      <w:r w:rsidRPr="002D653B">
        <w:rPr>
          <w:rFonts w:ascii="Times New Roman" w:hAnsi="Times New Roman"/>
          <w:i/>
          <w:sz w:val="24"/>
          <w:szCs w:val="24"/>
          <w:lang w:val="es-ES" w:eastAsia="es-ES"/>
        </w:rPr>
        <w:t>Revista Buzón de Arte/Arte de Buzón</w:t>
      </w:r>
      <w:r w:rsidRPr="0087769C">
        <w:rPr>
          <w:rFonts w:ascii="Times New Roman" w:hAnsi="Times New Roman"/>
          <w:sz w:val="24"/>
          <w:szCs w:val="24"/>
          <w:lang w:val="es-ES" w:eastAsia="es-ES"/>
        </w:rPr>
        <w:t>, N 1. Caracas, Venezuela.</w:t>
      </w:r>
    </w:p>
    <w:p w:rsidR="002D653B" w:rsidRPr="0087769C" w:rsidRDefault="002D653B" w:rsidP="002D653B">
      <w:pPr>
        <w:spacing w:after="0" w:line="240" w:lineRule="auto"/>
        <w:ind w:left="709" w:hanging="709"/>
        <w:jc w:val="both"/>
        <w:rPr>
          <w:rFonts w:ascii="Times New Roman" w:hAnsi="Times New Roman"/>
          <w:sz w:val="24"/>
          <w:szCs w:val="24"/>
          <w:lang w:val="es-ES" w:eastAsia="es-ES"/>
        </w:rPr>
      </w:pPr>
    </w:p>
    <w:p w:rsidR="001A0471" w:rsidRPr="0087769C" w:rsidRDefault="001A0471" w:rsidP="002D653B">
      <w:pPr>
        <w:spacing w:after="0" w:line="240" w:lineRule="auto"/>
        <w:ind w:left="709" w:hanging="709"/>
        <w:jc w:val="both"/>
        <w:rPr>
          <w:rFonts w:ascii="Times New Roman" w:hAnsi="Times New Roman"/>
          <w:sz w:val="24"/>
          <w:szCs w:val="24"/>
          <w:lang w:val="es-ES" w:eastAsia="es-ES"/>
        </w:rPr>
      </w:pPr>
      <w:r w:rsidRPr="0087769C">
        <w:rPr>
          <w:rFonts w:ascii="Times New Roman" w:hAnsi="Times New Roman"/>
          <w:sz w:val="24"/>
          <w:szCs w:val="24"/>
          <w:lang w:val="es-ES" w:eastAsia="es-ES"/>
        </w:rPr>
        <w:t>Vigo, E</w:t>
      </w:r>
      <w:r w:rsidR="002D653B">
        <w:rPr>
          <w:rFonts w:ascii="Times New Roman" w:hAnsi="Times New Roman"/>
          <w:sz w:val="24"/>
          <w:szCs w:val="24"/>
          <w:lang w:val="es-ES" w:eastAsia="es-ES"/>
        </w:rPr>
        <w:t>.</w:t>
      </w:r>
      <w:r w:rsidRPr="0087769C">
        <w:rPr>
          <w:rFonts w:ascii="Times New Roman" w:hAnsi="Times New Roman"/>
          <w:sz w:val="24"/>
          <w:szCs w:val="24"/>
          <w:lang w:val="es-ES" w:eastAsia="es-ES"/>
        </w:rPr>
        <w:t xml:space="preserve"> A</w:t>
      </w:r>
      <w:r w:rsidR="002D653B">
        <w:rPr>
          <w:rFonts w:ascii="Times New Roman" w:hAnsi="Times New Roman"/>
          <w:sz w:val="24"/>
          <w:szCs w:val="24"/>
          <w:lang w:val="es-ES" w:eastAsia="es-ES"/>
        </w:rPr>
        <w:t>.</w:t>
      </w:r>
      <w:r w:rsidRPr="0087769C">
        <w:rPr>
          <w:rFonts w:ascii="Times New Roman" w:hAnsi="Times New Roman"/>
          <w:sz w:val="24"/>
          <w:szCs w:val="24"/>
          <w:lang w:val="es-ES" w:eastAsia="es-ES"/>
        </w:rPr>
        <w:t xml:space="preserve"> (1976): “Arte Correo. Una nueva etapa en el proceso revolucionario de creación”. </w:t>
      </w:r>
      <w:r w:rsidRPr="002D653B">
        <w:rPr>
          <w:rFonts w:ascii="Times New Roman" w:hAnsi="Times New Roman"/>
          <w:i/>
          <w:sz w:val="24"/>
          <w:szCs w:val="24"/>
          <w:lang w:val="es-ES" w:eastAsia="es-ES"/>
        </w:rPr>
        <w:t>Revista Buzón de Arte/Arte de Buzón</w:t>
      </w:r>
      <w:r w:rsidRPr="0087769C">
        <w:rPr>
          <w:rFonts w:ascii="Times New Roman" w:hAnsi="Times New Roman"/>
          <w:sz w:val="24"/>
          <w:szCs w:val="24"/>
          <w:lang w:val="es-ES" w:eastAsia="es-ES"/>
        </w:rPr>
        <w:t>, N 2. Caracas, Venezuela.</w:t>
      </w:r>
    </w:p>
    <w:p w:rsidR="001A0471" w:rsidRPr="005A71FF" w:rsidRDefault="001A0471" w:rsidP="005A71FF">
      <w:pPr>
        <w:spacing w:after="0" w:line="360" w:lineRule="auto"/>
        <w:jc w:val="both"/>
        <w:rPr>
          <w:rFonts w:ascii="Times New Roman" w:hAnsi="Times New Roman"/>
          <w:b/>
          <w:sz w:val="24"/>
          <w:szCs w:val="24"/>
        </w:rPr>
      </w:pPr>
    </w:p>
    <w:sectPr w:rsidR="001A0471" w:rsidRPr="005A71FF" w:rsidSect="00CC27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BA"/>
    <w:rsid w:val="000009C0"/>
    <w:rsid w:val="00033B74"/>
    <w:rsid w:val="000542D0"/>
    <w:rsid w:val="000A478B"/>
    <w:rsid w:val="00186F7A"/>
    <w:rsid w:val="001A0471"/>
    <w:rsid w:val="00273071"/>
    <w:rsid w:val="0028519F"/>
    <w:rsid w:val="002C5FAE"/>
    <w:rsid w:val="002D653B"/>
    <w:rsid w:val="00384CD2"/>
    <w:rsid w:val="003A67D9"/>
    <w:rsid w:val="003C4750"/>
    <w:rsid w:val="003C5EAF"/>
    <w:rsid w:val="0040569B"/>
    <w:rsid w:val="00420219"/>
    <w:rsid w:val="0051275B"/>
    <w:rsid w:val="00592AFB"/>
    <w:rsid w:val="005A71FF"/>
    <w:rsid w:val="006249B1"/>
    <w:rsid w:val="006C3F32"/>
    <w:rsid w:val="00711B2E"/>
    <w:rsid w:val="007A6D8C"/>
    <w:rsid w:val="007D089F"/>
    <w:rsid w:val="007E0FB7"/>
    <w:rsid w:val="00813D41"/>
    <w:rsid w:val="0087769C"/>
    <w:rsid w:val="008D233B"/>
    <w:rsid w:val="00AA5542"/>
    <w:rsid w:val="00AA72A9"/>
    <w:rsid w:val="00AC4456"/>
    <w:rsid w:val="00AE19E8"/>
    <w:rsid w:val="00AF4A1D"/>
    <w:rsid w:val="00B15680"/>
    <w:rsid w:val="00B75C2F"/>
    <w:rsid w:val="00B95E69"/>
    <w:rsid w:val="00BA3DA3"/>
    <w:rsid w:val="00BC435B"/>
    <w:rsid w:val="00C243DC"/>
    <w:rsid w:val="00C3350B"/>
    <w:rsid w:val="00CA2DBA"/>
    <w:rsid w:val="00CC27BF"/>
    <w:rsid w:val="00E50DFB"/>
    <w:rsid w:val="00ED05CB"/>
    <w:rsid w:val="00F301FB"/>
    <w:rsid w:val="00F677F9"/>
    <w:rsid w:val="00FA71A4"/>
    <w:rsid w:val="00FC0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BF"/>
    <w:pPr>
      <w:spacing w:after="160" w:line="259" w:lineRule="auto"/>
    </w:pPr>
    <w:rPr>
      <w:lang w:val="es-AR" w:eastAsia="en-US"/>
    </w:rPr>
  </w:style>
  <w:style w:type="paragraph" w:styleId="Ttulo1">
    <w:name w:val="heading 1"/>
    <w:basedOn w:val="Normal"/>
    <w:next w:val="Normal"/>
    <w:link w:val="Ttulo1Car"/>
    <w:uiPriority w:val="99"/>
    <w:qFormat/>
    <w:rsid w:val="006C3F32"/>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C3F32"/>
    <w:rPr>
      <w:rFonts w:ascii="Calibri Light" w:hAnsi="Calibri Light" w:cs="Times New Roman"/>
      <w:color w:val="2E74B5"/>
      <w:sz w:val="32"/>
      <w:szCs w:val="32"/>
    </w:rPr>
  </w:style>
  <w:style w:type="paragraph" w:styleId="NormalWeb">
    <w:name w:val="Normal (Web)"/>
    <w:basedOn w:val="Normal"/>
    <w:uiPriority w:val="99"/>
    <w:rsid w:val="00CA2DB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translate">
    <w:name w:val="notranslate"/>
    <w:basedOn w:val="Fuentedeprrafopredeter"/>
    <w:uiPriority w:val="99"/>
    <w:rsid w:val="00CA2DBA"/>
    <w:rPr>
      <w:rFonts w:cs="Times New Roman"/>
    </w:rPr>
  </w:style>
  <w:style w:type="character" w:styleId="Hipervnculo">
    <w:name w:val="Hyperlink"/>
    <w:basedOn w:val="Fuentedeprrafopredeter"/>
    <w:uiPriority w:val="99"/>
    <w:rsid w:val="0087769C"/>
    <w:rPr>
      <w:rFonts w:cs="Times New Roman"/>
      <w:color w:val="0000FF"/>
      <w:u w:val="single"/>
    </w:rPr>
  </w:style>
  <w:style w:type="paragraph" w:styleId="Mapadeldocumento">
    <w:name w:val="Document Map"/>
    <w:basedOn w:val="Normal"/>
    <w:link w:val="MapadeldocumentoCar"/>
    <w:uiPriority w:val="99"/>
    <w:semiHidden/>
    <w:rsid w:val="00711B2E"/>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9553C8"/>
    <w:rPr>
      <w:rFonts w:ascii="Times New Roman" w:hAnsi="Times New Roman"/>
      <w:sz w:val="0"/>
      <w:szCs w:val="0"/>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BF"/>
    <w:pPr>
      <w:spacing w:after="160" w:line="259" w:lineRule="auto"/>
    </w:pPr>
    <w:rPr>
      <w:lang w:val="es-AR" w:eastAsia="en-US"/>
    </w:rPr>
  </w:style>
  <w:style w:type="paragraph" w:styleId="Ttulo1">
    <w:name w:val="heading 1"/>
    <w:basedOn w:val="Normal"/>
    <w:next w:val="Normal"/>
    <w:link w:val="Ttulo1Car"/>
    <w:uiPriority w:val="99"/>
    <w:qFormat/>
    <w:rsid w:val="006C3F32"/>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C3F32"/>
    <w:rPr>
      <w:rFonts w:ascii="Calibri Light" w:hAnsi="Calibri Light" w:cs="Times New Roman"/>
      <w:color w:val="2E74B5"/>
      <w:sz w:val="32"/>
      <w:szCs w:val="32"/>
    </w:rPr>
  </w:style>
  <w:style w:type="paragraph" w:styleId="NormalWeb">
    <w:name w:val="Normal (Web)"/>
    <w:basedOn w:val="Normal"/>
    <w:uiPriority w:val="99"/>
    <w:rsid w:val="00CA2DB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translate">
    <w:name w:val="notranslate"/>
    <w:basedOn w:val="Fuentedeprrafopredeter"/>
    <w:uiPriority w:val="99"/>
    <w:rsid w:val="00CA2DBA"/>
    <w:rPr>
      <w:rFonts w:cs="Times New Roman"/>
    </w:rPr>
  </w:style>
  <w:style w:type="character" w:styleId="Hipervnculo">
    <w:name w:val="Hyperlink"/>
    <w:basedOn w:val="Fuentedeprrafopredeter"/>
    <w:uiPriority w:val="99"/>
    <w:rsid w:val="0087769C"/>
    <w:rPr>
      <w:rFonts w:cs="Times New Roman"/>
      <w:color w:val="0000FF"/>
      <w:u w:val="single"/>
    </w:rPr>
  </w:style>
  <w:style w:type="paragraph" w:styleId="Mapadeldocumento">
    <w:name w:val="Document Map"/>
    <w:basedOn w:val="Normal"/>
    <w:link w:val="MapadeldocumentoCar"/>
    <w:uiPriority w:val="99"/>
    <w:semiHidden/>
    <w:rsid w:val="00711B2E"/>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9553C8"/>
    <w:rPr>
      <w:rFonts w:ascii="Times New Roman" w:hAnsi="Times New Roman"/>
      <w:sz w:val="0"/>
      <w:szCs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055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vc.cervantes.es/lengua/thesaurus/pdf/44/TH_44_002_113_0.pdf" TargetMode="External"/><Relationship Id="rId3" Type="http://schemas.openxmlformats.org/officeDocument/2006/relationships/settings" Target="settings.xml"/><Relationship Id="rId7" Type="http://schemas.openxmlformats.org/officeDocument/2006/relationships/hyperlink" Target="http://www.centroprodh.org.mx/impunidadayeryhoy/DiplomadoJT2015/Mod2/Los%20trabajos%20de%20la%20memoria%20Elizabeth%20Jeli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cba.cat/uploads/20080408/Georges_Didi_Huberman_Cuando_las_imagenes_tocan_lo_real.pdf" TargetMode="External"/><Relationship Id="rId5" Type="http://schemas.openxmlformats.org/officeDocument/2006/relationships/hyperlink" Target="https://es.calameo.com/books/000658104eb97872328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3112</Words>
  <Characters>17117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El Arte Correo y los decires de la Historia y la Memoria</vt:lpstr>
    </vt:vector>
  </TitlesOfParts>
  <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Arte Correo y los decires de la Historia y la Memoria</dc:title>
  <dc:subject/>
  <dc:creator>Usuario de Windows</dc:creator>
  <cp:keywords/>
  <dc:description/>
  <cp:lastModifiedBy>Usuario</cp:lastModifiedBy>
  <cp:revision>3</cp:revision>
  <dcterms:created xsi:type="dcterms:W3CDTF">2021-02-03T09:15:00Z</dcterms:created>
  <dcterms:modified xsi:type="dcterms:W3CDTF">2021-05-07T20:20:00Z</dcterms:modified>
</cp:coreProperties>
</file>